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jc w:val="center"/>
        <w:rPr>
          <w:rFonts w:hint="eastAsia"/>
          <w:b/>
          <w:sz w:val="24"/>
          <w:szCs w:val="32"/>
        </w:rPr>
      </w:pPr>
      <w:r>
        <w:rPr>
          <w:b/>
          <w:sz w:val="24"/>
          <w:szCs w:val="32"/>
        </w:rPr>
        <w:t>合同一般条款</w:t>
      </w:r>
    </w:p>
    <w:p>
      <w:pPr>
        <w:tabs>
          <w:tab w:val="left" w:pos="0"/>
          <w:tab w:val="left" w:pos="315"/>
        </w:tabs>
        <w:ind w:firstLine="420"/>
        <w:rPr>
          <w:rFonts w:hint="eastAsia"/>
          <w:bCs/>
          <w:sz w:val="24"/>
          <w:szCs w:val="24"/>
        </w:rPr>
      </w:pPr>
    </w:p>
    <w:p>
      <w:pPr>
        <w:tabs>
          <w:tab w:val="left" w:pos="0"/>
          <w:tab w:val="left" w:pos="315"/>
        </w:tabs>
        <w:ind w:firstLine="420"/>
        <w:rPr>
          <w:rFonts w:hint="eastAsia"/>
          <w:bCs/>
          <w:sz w:val="24"/>
          <w:szCs w:val="24"/>
          <w:u w:val="single"/>
        </w:rPr>
      </w:pPr>
      <w:r>
        <w:rPr>
          <w:bCs/>
          <w:sz w:val="24"/>
          <w:szCs w:val="24"/>
        </w:rPr>
        <w:t>甲方：</w:t>
      </w:r>
      <w:r>
        <w:rPr>
          <w:rFonts w:hint="eastAsia"/>
          <w:bCs/>
          <w:sz w:val="24"/>
          <w:szCs w:val="24"/>
          <w:u w:val="single"/>
        </w:rPr>
        <w:t>天津市津南区农业农村委员会</w:t>
      </w:r>
    </w:p>
    <w:p>
      <w:pPr>
        <w:tabs>
          <w:tab w:val="left" w:pos="0"/>
          <w:tab w:val="left" w:pos="315"/>
        </w:tabs>
        <w:ind w:firstLine="420"/>
        <w:rPr>
          <w:rFonts w:hint="eastAsia"/>
          <w:bCs/>
          <w:sz w:val="24"/>
          <w:szCs w:val="24"/>
        </w:rPr>
      </w:pPr>
      <w:r>
        <w:rPr>
          <w:bCs/>
          <w:sz w:val="24"/>
          <w:szCs w:val="24"/>
        </w:rPr>
        <w:t>乙方：</w:t>
      </w:r>
      <w:r>
        <w:rPr>
          <w:rFonts w:hint="eastAsia"/>
          <w:bCs/>
          <w:sz w:val="24"/>
          <w:szCs w:val="24"/>
          <w:u w:val="single"/>
        </w:rPr>
        <w:t>天津市农业科学院</w:t>
      </w:r>
      <w:r>
        <w:rPr>
          <w:bCs/>
          <w:sz w:val="24"/>
          <w:szCs w:val="24"/>
          <w:u w:val="single"/>
        </w:rPr>
        <w:t xml:space="preserve"> </w:t>
      </w:r>
      <w:r>
        <w:rPr>
          <w:bCs/>
          <w:sz w:val="24"/>
          <w:szCs w:val="24"/>
        </w:rPr>
        <w:t xml:space="preserve"> </w:t>
      </w:r>
    </w:p>
    <w:p>
      <w:pPr>
        <w:ind w:firstLine="420"/>
        <w:rPr>
          <w:rFonts w:hint="eastAsia"/>
          <w:bCs/>
          <w:sz w:val="24"/>
          <w:szCs w:val="24"/>
        </w:rPr>
      </w:pPr>
      <w:r>
        <w:rPr>
          <w:bCs/>
          <w:sz w:val="24"/>
          <w:szCs w:val="24"/>
        </w:rPr>
        <w:t>甲、乙双方根据</w:t>
      </w:r>
      <w:r>
        <w:rPr>
          <w:rFonts w:hint="eastAsia"/>
          <w:bCs/>
          <w:sz w:val="24"/>
          <w:szCs w:val="24"/>
          <w:u w:val="single"/>
        </w:rPr>
        <w:t>津南区2025-2026年度农产品质量安全检测</w:t>
      </w:r>
      <w:r>
        <w:rPr>
          <w:bCs/>
          <w:sz w:val="24"/>
          <w:szCs w:val="24"/>
        </w:rPr>
        <w:t>项目（项目编号：</w:t>
      </w:r>
      <w:r>
        <w:rPr>
          <w:rFonts w:hint="eastAsia"/>
          <w:bCs/>
          <w:sz w:val="24"/>
          <w:szCs w:val="24"/>
          <w:u w:val="single"/>
        </w:rPr>
        <w:t>HTZJ2025（ZBF）-0317</w:t>
      </w:r>
      <w:r>
        <w:rPr>
          <w:bCs/>
          <w:sz w:val="24"/>
          <w:szCs w:val="24"/>
        </w:rPr>
        <w:t>）的磋文件要求及</w:t>
      </w:r>
      <w:r>
        <w:rPr>
          <w:rFonts w:hint="eastAsia"/>
          <w:bCs/>
          <w:sz w:val="24"/>
          <w:szCs w:val="24"/>
          <w:u w:val="single"/>
        </w:rPr>
        <w:t>2025</w:t>
      </w:r>
      <w:r>
        <w:rPr>
          <w:bCs/>
          <w:sz w:val="24"/>
          <w:szCs w:val="24"/>
        </w:rPr>
        <w:t>年</w:t>
      </w:r>
      <w:r>
        <w:rPr>
          <w:rFonts w:hint="eastAsia"/>
          <w:bCs/>
          <w:sz w:val="24"/>
          <w:szCs w:val="24"/>
          <w:u w:val="single"/>
        </w:rPr>
        <w:t>05</w:t>
      </w:r>
      <w:r>
        <w:rPr>
          <w:bCs/>
          <w:sz w:val="24"/>
          <w:szCs w:val="24"/>
        </w:rPr>
        <w:t>月</w:t>
      </w:r>
      <w:r>
        <w:rPr>
          <w:rFonts w:hint="eastAsia"/>
          <w:bCs/>
          <w:sz w:val="24"/>
          <w:szCs w:val="24"/>
          <w:u w:val="single"/>
        </w:rPr>
        <w:t>07</w:t>
      </w:r>
      <w:r>
        <w:rPr>
          <w:bCs/>
          <w:sz w:val="24"/>
          <w:szCs w:val="24"/>
        </w:rPr>
        <w:t>日</w:t>
      </w:r>
      <w:r>
        <w:rPr>
          <w:rFonts w:hint="eastAsia"/>
          <w:bCs/>
          <w:sz w:val="24"/>
          <w:szCs w:val="24"/>
        </w:rPr>
        <w:t>华泰中金(天津)项目管理有限公司</w:t>
      </w:r>
      <w:r>
        <w:rPr>
          <w:bCs/>
          <w:sz w:val="24"/>
          <w:szCs w:val="24"/>
        </w:rPr>
        <w:t>组织的该项目开标结果及投标承诺；经双方协商，一致同意签订本合同：</w:t>
      </w:r>
    </w:p>
    <w:p>
      <w:pPr>
        <w:ind w:firstLine="420"/>
        <w:rPr>
          <w:rFonts w:hint="eastAsia"/>
          <w:bCs/>
          <w:sz w:val="24"/>
          <w:szCs w:val="24"/>
        </w:rPr>
      </w:pPr>
      <w:r>
        <w:rPr>
          <w:bCs/>
          <w:sz w:val="24"/>
          <w:szCs w:val="24"/>
        </w:rPr>
        <w:t>一、服务内容：</w:t>
      </w:r>
      <w:r>
        <w:rPr>
          <w:rFonts w:hint="eastAsia"/>
          <w:bCs/>
          <w:sz w:val="24"/>
          <w:szCs w:val="24"/>
        </w:rPr>
        <w:t>500批次定量检测（非监督抽检）</w:t>
      </w:r>
    </w:p>
    <w:p>
      <w:pPr>
        <w:ind w:firstLine="420"/>
        <w:rPr>
          <w:rFonts w:hint="eastAsia"/>
          <w:bCs/>
          <w:sz w:val="24"/>
          <w:szCs w:val="24"/>
        </w:rPr>
      </w:pPr>
      <w:r>
        <w:rPr>
          <w:bCs/>
          <w:sz w:val="24"/>
          <w:szCs w:val="24"/>
        </w:rPr>
        <w:t>二、服务期及服务地点</w:t>
      </w:r>
    </w:p>
    <w:p>
      <w:pPr>
        <w:ind w:firstLine="420"/>
        <w:rPr>
          <w:rFonts w:hint="eastAsia"/>
          <w:bCs/>
          <w:sz w:val="24"/>
          <w:szCs w:val="24"/>
        </w:rPr>
      </w:pPr>
      <w:r>
        <w:rPr>
          <w:bCs/>
          <w:sz w:val="24"/>
          <w:szCs w:val="24"/>
        </w:rPr>
        <w:t>1、服务期：</w:t>
      </w:r>
      <w:r>
        <w:rPr>
          <w:rFonts w:hint="eastAsia"/>
          <w:bCs/>
          <w:sz w:val="24"/>
          <w:szCs w:val="24"/>
        </w:rPr>
        <w:t>自合同签订之日起一年（特殊情况以合同为准）。</w:t>
      </w:r>
    </w:p>
    <w:p>
      <w:pPr>
        <w:ind w:firstLine="420"/>
        <w:rPr>
          <w:rFonts w:hint="eastAsia"/>
          <w:bCs/>
          <w:sz w:val="24"/>
          <w:szCs w:val="24"/>
        </w:rPr>
      </w:pPr>
      <w:r>
        <w:rPr>
          <w:bCs/>
          <w:sz w:val="24"/>
          <w:szCs w:val="24"/>
        </w:rPr>
        <w:t>2、服务地点：</w:t>
      </w:r>
      <w:r>
        <w:rPr>
          <w:rFonts w:hint="eastAsia"/>
          <w:bCs/>
          <w:sz w:val="24"/>
          <w:szCs w:val="24"/>
        </w:rPr>
        <w:t>天津市津南区（特殊情况以合同为准）。</w:t>
      </w:r>
    </w:p>
    <w:p>
      <w:pPr>
        <w:ind w:firstLine="420"/>
        <w:rPr>
          <w:rFonts w:hint="eastAsia"/>
          <w:bCs/>
          <w:sz w:val="24"/>
          <w:szCs w:val="24"/>
        </w:rPr>
      </w:pPr>
      <w:r>
        <w:rPr>
          <w:bCs/>
          <w:sz w:val="24"/>
          <w:szCs w:val="24"/>
        </w:rPr>
        <w:t>三、服务要求</w:t>
      </w:r>
    </w:p>
    <w:p>
      <w:pPr>
        <w:ind w:firstLine="420"/>
        <w:rPr>
          <w:rFonts w:hint="eastAsia"/>
          <w:bCs/>
          <w:sz w:val="24"/>
          <w:szCs w:val="24"/>
        </w:rPr>
      </w:pPr>
      <w:r>
        <w:rPr>
          <w:bCs/>
          <w:sz w:val="24"/>
          <w:szCs w:val="24"/>
        </w:rPr>
        <w:t>1、必须满足或高于磋商文件要求。</w:t>
      </w:r>
    </w:p>
    <w:p>
      <w:pPr>
        <w:widowControl/>
        <w:ind w:firstLine="420"/>
        <w:rPr>
          <w:rFonts w:hint="eastAsia"/>
          <w:bCs/>
          <w:sz w:val="24"/>
          <w:szCs w:val="24"/>
        </w:rPr>
      </w:pPr>
      <w:r>
        <w:rPr>
          <w:bCs/>
          <w:sz w:val="24"/>
          <w:szCs w:val="24"/>
        </w:rPr>
        <w:t>2、乙方提供的服务与中标所示内容完全一致，不存在任何偏差。如出现不一致，乙方将承担违约责任。</w:t>
      </w:r>
    </w:p>
    <w:p>
      <w:pPr>
        <w:widowControl/>
        <w:ind w:firstLine="420"/>
        <w:rPr>
          <w:rFonts w:hint="eastAsia"/>
          <w:bCs/>
          <w:sz w:val="24"/>
          <w:szCs w:val="24"/>
        </w:rPr>
      </w:pPr>
      <w:r>
        <w:rPr>
          <w:bCs/>
          <w:sz w:val="24"/>
          <w:szCs w:val="24"/>
        </w:rPr>
        <w:t>3、乙方所提供的服务必须具有合法手续及相关文件。如涉及知识产权则必须是自己拥有或合法使用的。</w:t>
      </w:r>
    </w:p>
    <w:p>
      <w:pPr>
        <w:ind w:firstLine="420"/>
        <w:rPr>
          <w:rFonts w:hint="eastAsia"/>
          <w:bCs/>
          <w:sz w:val="24"/>
          <w:szCs w:val="24"/>
        </w:rPr>
      </w:pPr>
      <w:r>
        <w:rPr>
          <w:bCs/>
          <w:sz w:val="24"/>
          <w:szCs w:val="24"/>
        </w:rPr>
        <w:t>四、合同额及付款方式</w:t>
      </w:r>
    </w:p>
    <w:p>
      <w:pPr>
        <w:widowControl/>
        <w:ind w:firstLine="420"/>
        <w:rPr>
          <w:rFonts w:hint="eastAsia"/>
          <w:bCs/>
          <w:sz w:val="24"/>
          <w:szCs w:val="24"/>
        </w:rPr>
      </w:pPr>
      <w:r>
        <w:rPr>
          <w:bCs/>
          <w:sz w:val="24"/>
          <w:szCs w:val="24"/>
        </w:rPr>
        <w:t>1、合同额：</w:t>
      </w:r>
      <w:r>
        <w:rPr>
          <w:rFonts w:hint="eastAsia"/>
          <w:bCs/>
          <w:sz w:val="24"/>
          <w:szCs w:val="24"/>
          <w:u w:val="single"/>
        </w:rPr>
        <w:t>616000</w:t>
      </w:r>
      <w:r>
        <w:rPr>
          <w:bCs/>
          <w:sz w:val="24"/>
          <w:szCs w:val="24"/>
        </w:rPr>
        <w:t>元（大写：</w:t>
      </w:r>
      <w:r>
        <w:rPr>
          <w:bCs/>
          <w:sz w:val="24"/>
          <w:szCs w:val="24"/>
          <w:u w:val="single"/>
        </w:rPr>
        <w:t>陆拾壹万陆仟元整</w:t>
      </w:r>
      <w:r>
        <w:rPr>
          <w:bCs/>
          <w:sz w:val="24"/>
          <w:szCs w:val="24"/>
        </w:rPr>
        <w:t>），价格明细附后。</w:t>
      </w:r>
    </w:p>
    <w:p>
      <w:pPr>
        <w:widowControl/>
        <w:ind w:left="479" w:leftChars="228"/>
        <w:rPr>
          <w:rFonts w:hint="eastAsia"/>
          <w:sz w:val="32"/>
          <w:szCs w:val="32"/>
        </w:rPr>
      </w:pPr>
      <w:r>
        <w:rPr>
          <w:bCs/>
          <w:sz w:val="24"/>
          <w:szCs w:val="24"/>
        </w:rPr>
        <w:t>2、付款方式</w:t>
      </w:r>
      <w:r>
        <w:rPr>
          <w:bCs/>
          <w:sz w:val="24"/>
          <w:szCs w:val="24"/>
          <w:u w:val="single"/>
        </w:rPr>
        <w:t>：</w:t>
      </w:r>
      <w:r>
        <w:rPr>
          <w:rFonts w:hint="eastAsia"/>
          <w:bCs/>
          <w:sz w:val="24"/>
          <w:szCs w:val="24"/>
          <w:u w:val="single"/>
        </w:rPr>
        <w:t xml:space="preserve"> 承检机构按规定完成检验检测任务，并经过审核通过后，提供与费用相对应的正式发票，待财政资金到位后，根据实际情况进行付款（特殊情况以合同为准）。</w:t>
      </w:r>
    </w:p>
    <w:p>
      <w:pPr>
        <w:widowControl/>
        <w:ind w:firstLine="420"/>
        <w:rPr>
          <w:rFonts w:hint="eastAsia"/>
          <w:bCs/>
          <w:sz w:val="24"/>
          <w:szCs w:val="24"/>
          <w:u w:val="single"/>
        </w:rPr>
      </w:pPr>
      <w:r>
        <w:rPr>
          <w:bCs/>
          <w:sz w:val="24"/>
          <w:szCs w:val="24"/>
        </w:rPr>
        <w:t>乙方开户银行（汉字全称）：</w:t>
      </w:r>
      <w:r>
        <w:rPr>
          <w:bCs/>
          <w:sz w:val="24"/>
          <w:szCs w:val="24"/>
          <w:u w:val="single"/>
        </w:rPr>
        <w:t>建设银行天津新技术产业园区支行</w:t>
      </w:r>
    </w:p>
    <w:p>
      <w:pPr>
        <w:widowControl/>
        <w:ind w:firstLine="420"/>
        <w:rPr>
          <w:rFonts w:hint="eastAsia"/>
          <w:bCs/>
          <w:sz w:val="24"/>
          <w:szCs w:val="24"/>
          <w:u w:val="single"/>
        </w:rPr>
      </w:pPr>
      <w:r>
        <w:rPr>
          <w:bCs/>
          <w:sz w:val="24"/>
          <w:szCs w:val="24"/>
        </w:rPr>
        <w:t>行号（数字代码）：</w:t>
      </w:r>
      <w:r>
        <w:rPr>
          <w:bCs/>
          <w:sz w:val="24"/>
          <w:szCs w:val="24"/>
          <w:u w:val="single"/>
        </w:rPr>
        <w:t>105110035272</w:t>
      </w:r>
    </w:p>
    <w:p>
      <w:pPr>
        <w:widowControl/>
        <w:ind w:firstLine="420"/>
        <w:rPr>
          <w:rFonts w:hint="eastAsia"/>
          <w:bCs/>
          <w:sz w:val="24"/>
          <w:szCs w:val="24"/>
        </w:rPr>
      </w:pPr>
      <w:r>
        <w:rPr>
          <w:bCs/>
          <w:sz w:val="24"/>
          <w:szCs w:val="24"/>
        </w:rPr>
        <w:t>账        号：</w:t>
      </w:r>
      <w:r>
        <w:rPr>
          <w:rFonts w:hint="eastAsia"/>
          <w:bCs/>
          <w:sz w:val="24"/>
          <w:szCs w:val="24"/>
          <w:u w:val="single"/>
        </w:rPr>
        <w:t>1200 1650 4720 5000 1550</w:t>
      </w:r>
      <w:r>
        <w:rPr>
          <w:bCs/>
          <w:sz w:val="24"/>
          <w:szCs w:val="24"/>
        </w:rPr>
        <w:t xml:space="preserve">              </w:t>
      </w:r>
    </w:p>
    <w:p>
      <w:pPr>
        <w:ind w:firstLine="420"/>
        <w:rPr>
          <w:rFonts w:hint="eastAsia"/>
          <w:bCs/>
          <w:sz w:val="24"/>
          <w:szCs w:val="24"/>
        </w:rPr>
      </w:pPr>
      <w:r>
        <w:rPr>
          <w:bCs/>
          <w:sz w:val="24"/>
          <w:szCs w:val="24"/>
        </w:rPr>
        <w:t>五、验收</w:t>
      </w:r>
    </w:p>
    <w:p>
      <w:pPr>
        <w:ind w:firstLine="420"/>
        <w:rPr>
          <w:rFonts w:hint="eastAsia"/>
          <w:bCs/>
          <w:sz w:val="24"/>
          <w:szCs w:val="24"/>
        </w:rPr>
      </w:pPr>
      <w:r>
        <w:rPr>
          <w:bCs/>
          <w:sz w:val="24"/>
          <w:szCs w:val="24"/>
        </w:rPr>
        <w:t>1、验收工作由甲方负责对服务进行验收。服务完毕并验收合格，甲方开具“验收书”。</w:t>
      </w:r>
    </w:p>
    <w:p>
      <w:pPr>
        <w:ind w:firstLine="420"/>
        <w:rPr>
          <w:rFonts w:hint="eastAsia"/>
          <w:bCs/>
          <w:strike/>
          <w:sz w:val="24"/>
          <w:szCs w:val="24"/>
        </w:rPr>
      </w:pPr>
      <w:r>
        <w:rPr>
          <w:bCs/>
          <w:sz w:val="24"/>
          <w:szCs w:val="24"/>
        </w:rPr>
        <w:t>2、验收及相关费用由乙方负责。</w:t>
      </w:r>
    </w:p>
    <w:p>
      <w:pPr>
        <w:ind w:firstLine="420"/>
        <w:rPr>
          <w:rFonts w:hint="eastAsia"/>
          <w:bCs/>
          <w:sz w:val="24"/>
          <w:szCs w:val="24"/>
        </w:rPr>
      </w:pPr>
      <w:r>
        <w:rPr>
          <w:bCs/>
          <w:sz w:val="24"/>
          <w:szCs w:val="24"/>
        </w:rPr>
        <w:t>六、违约责任</w:t>
      </w:r>
    </w:p>
    <w:p>
      <w:pPr>
        <w:widowControl/>
        <w:ind w:firstLine="420"/>
        <w:rPr>
          <w:rFonts w:hint="eastAsia"/>
          <w:bCs/>
          <w:sz w:val="24"/>
          <w:szCs w:val="24"/>
        </w:rPr>
      </w:pPr>
      <w:r>
        <w:rPr>
          <w:bCs/>
          <w:sz w:val="24"/>
          <w:szCs w:val="24"/>
        </w:rPr>
        <w:t>1、乙方未能达到约定的服务标准，甲方有权要求乙方限期整改，逾期未整改的，甲方有权终止合同；造成甲方经济损失的，乙方应给予甲方经济赔偿。</w:t>
      </w:r>
    </w:p>
    <w:p>
      <w:pPr>
        <w:widowControl/>
        <w:ind w:firstLine="420"/>
        <w:rPr>
          <w:rFonts w:hint="eastAsia"/>
          <w:bCs/>
          <w:sz w:val="24"/>
          <w:szCs w:val="24"/>
        </w:rPr>
      </w:pPr>
      <w:r>
        <w:rPr>
          <w:bCs/>
          <w:sz w:val="24"/>
          <w:szCs w:val="24"/>
        </w:rPr>
        <w:t>2、非因法律规定或合同约定，任何一方擅自终止本合同，应当承担违约责任。如最终导致合同不能履行，违约方应当赔偿合同总金额百分之五的违约金给守约方，由此给守约方造成经济损失的，违约方还应负责赔偿。</w:t>
      </w:r>
    </w:p>
    <w:p>
      <w:pPr>
        <w:widowControl/>
        <w:ind w:firstLine="420"/>
        <w:rPr>
          <w:rFonts w:hint="eastAsia"/>
          <w:bCs/>
          <w:sz w:val="24"/>
          <w:szCs w:val="24"/>
        </w:rPr>
      </w:pPr>
      <w:r>
        <w:rPr>
          <w:bCs/>
          <w:sz w:val="24"/>
          <w:szCs w:val="24"/>
        </w:rPr>
        <w:t>3、由于甲方原因，使乙方未完成规定管理目标，乙方有权要求甲方在一定期限内解决，逾期未解决的，乙方有权终止合同；造成乙方经济损失的，甲方应给予乙方经济赔偿。</w:t>
      </w:r>
    </w:p>
    <w:p>
      <w:pPr>
        <w:widowControl/>
        <w:ind w:firstLine="420"/>
        <w:rPr>
          <w:rFonts w:hint="eastAsia"/>
          <w:bCs/>
          <w:sz w:val="24"/>
          <w:szCs w:val="24"/>
        </w:rPr>
      </w:pPr>
      <w:r>
        <w:rPr>
          <w:bCs/>
          <w:sz w:val="24"/>
          <w:szCs w:val="24"/>
        </w:rPr>
        <w:t>4、如因不可抗力事件导致一方不能履行或不能完全履行合同，按照《中华人民共和国民法典》的有关规定执行。</w:t>
      </w:r>
    </w:p>
    <w:p>
      <w:pPr>
        <w:widowControl/>
        <w:ind w:firstLine="420"/>
        <w:rPr>
          <w:rFonts w:hint="eastAsia"/>
          <w:bCs/>
          <w:sz w:val="24"/>
          <w:szCs w:val="24"/>
        </w:rPr>
      </w:pPr>
      <w:r>
        <w:rPr>
          <w:bCs/>
          <w:sz w:val="24"/>
          <w:szCs w:val="24"/>
        </w:rPr>
        <w:t>5、如因遇国家法律、法规、政策的规定与本合同发生冲突的，双方应协商对本合同进行相应调整，使之符合法律规定。</w:t>
      </w:r>
    </w:p>
    <w:p>
      <w:pPr>
        <w:ind w:firstLine="420"/>
        <w:rPr>
          <w:rFonts w:hint="eastAsia"/>
          <w:bCs/>
          <w:sz w:val="24"/>
          <w:szCs w:val="24"/>
        </w:rPr>
      </w:pPr>
      <w:r>
        <w:rPr>
          <w:bCs/>
          <w:sz w:val="24"/>
          <w:szCs w:val="24"/>
        </w:rPr>
        <w:t>七、争议解决方式</w:t>
      </w:r>
    </w:p>
    <w:p>
      <w:pPr>
        <w:widowControl/>
        <w:ind w:firstLine="420"/>
        <w:rPr>
          <w:rFonts w:hint="eastAsia"/>
          <w:bCs/>
          <w:sz w:val="24"/>
          <w:szCs w:val="24"/>
        </w:rPr>
      </w:pPr>
      <w:r>
        <w:rPr>
          <w:bCs/>
          <w:sz w:val="24"/>
          <w:szCs w:val="24"/>
        </w:rPr>
        <w:t>1、因服务的质量问题发生争议时，甲、乙双方协商解决。</w:t>
      </w:r>
    </w:p>
    <w:p>
      <w:pPr>
        <w:widowControl/>
        <w:ind w:firstLine="420"/>
        <w:rPr>
          <w:rFonts w:hint="eastAsia"/>
          <w:bCs/>
          <w:sz w:val="24"/>
          <w:szCs w:val="24"/>
        </w:rPr>
      </w:pPr>
      <w:r>
        <w:rPr>
          <w:bCs/>
          <w:sz w:val="24"/>
          <w:szCs w:val="24"/>
        </w:rPr>
        <w:t>2、因服务的质量问题发生争议且甲、乙双方不能协商解决时，依据国家标准，由天津市市场和质量监督管理委员会或其指定的技术单位进行质量鉴定，该鉴定结论是终局的，甲、乙双方应当接受，质量鉴定期间所发生的相关费用由服务质量责任方承担。</w:t>
      </w:r>
    </w:p>
    <w:p>
      <w:pPr>
        <w:ind w:firstLine="420"/>
        <w:rPr>
          <w:rFonts w:hint="eastAsia"/>
          <w:bCs/>
          <w:sz w:val="24"/>
          <w:szCs w:val="24"/>
        </w:rPr>
      </w:pPr>
      <w:r>
        <w:rPr>
          <w:bCs/>
          <w:sz w:val="24"/>
          <w:szCs w:val="24"/>
        </w:rPr>
        <w:t>八、未尽事宜</w:t>
      </w:r>
    </w:p>
    <w:p>
      <w:pPr>
        <w:widowControl/>
        <w:ind w:firstLine="420"/>
        <w:rPr>
          <w:rFonts w:hint="eastAsia"/>
          <w:bCs/>
          <w:sz w:val="24"/>
          <w:szCs w:val="24"/>
        </w:rPr>
      </w:pPr>
      <w:r>
        <w:rPr>
          <w:bCs/>
          <w:sz w:val="24"/>
          <w:szCs w:val="24"/>
        </w:rPr>
        <w:t>1、本合同未尽事宜，双方协商补充。</w:t>
      </w:r>
    </w:p>
    <w:p>
      <w:pPr>
        <w:widowControl/>
        <w:ind w:firstLine="420"/>
        <w:rPr>
          <w:rFonts w:hint="eastAsia"/>
          <w:bCs/>
          <w:sz w:val="24"/>
          <w:szCs w:val="24"/>
        </w:rPr>
      </w:pPr>
      <w:r>
        <w:rPr>
          <w:bCs/>
          <w:sz w:val="24"/>
          <w:szCs w:val="24"/>
        </w:rPr>
        <w:t>2、本合同未作明确约定，而又有相关法律、法规规定的，从其规定。</w:t>
      </w:r>
    </w:p>
    <w:p>
      <w:pPr>
        <w:widowControl/>
        <w:ind w:firstLine="420"/>
        <w:rPr>
          <w:rFonts w:hint="eastAsia"/>
          <w:bCs/>
          <w:sz w:val="24"/>
          <w:szCs w:val="24"/>
        </w:rPr>
      </w:pPr>
      <w:r>
        <w:rPr>
          <w:bCs/>
          <w:sz w:val="24"/>
          <w:szCs w:val="24"/>
        </w:rPr>
        <w:t>3、如合同履行过程中产生争议，双方协商解决。不能协商解决时，由合同签订地人民法院诉讼解决。</w:t>
      </w:r>
    </w:p>
    <w:p>
      <w:pPr>
        <w:ind w:firstLine="420"/>
        <w:rPr>
          <w:rFonts w:hint="eastAsia"/>
          <w:bCs/>
          <w:sz w:val="24"/>
          <w:szCs w:val="24"/>
        </w:rPr>
      </w:pPr>
      <w:r>
        <w:rPr>
          <w:bCs/>
          <w:sz w:val="24"/>
          <w:szCs w:val="24"/>
        </w:rPr>
        <w:t>九、其他</w:t>
      </w:r>
    </w:p>
    <w:p>
      <w:pPr>
        <w:ind w:firstLine="420"/>
        <w:rPr>
          <w:rFonts w:hint="eastAsia"/>
          <w:bCs/>
          <w:sz w:val="24"/>
          <w:szCs w:val="24"/>
        </w:rPr>
      </w:pPr>
      <w:r>
        <w:rPr>
          <w:bCs/>
          <w:sz w:val="24"/>
          <w:szCs w:val="24"/>
        </w:rPr>
        <w:t>1、本合同双方签字、盖章后生效。合同一式陆份，甲方执叁份，乙方执贰份，天津博纳招标代理有限公司存档壹份，具有同等法律效力。</w:t>
      </w:r>
    </w:p>
    <w:p>
      <w:pPr>
        <w:ind w:firstLine="420"/>
        <w:rPr>
          <w:rFonts w:hint="eastAsia"/>
          <w:bCs/>
          <w:sz w:val="24"/>
          <w:szCs w:val="24"/>
        </w:rPr>
      </w:pPr>
      <w:r>
        <w:rPr>
          <w:bCs/>
          <w:sz w:val="24"/>
          <w:szCs w:val="24"/>
        </w:rPr>
        <w:t>2、以下附件为本合同不可分割的一部分，具有与本合同同等的法律效力：</w:t>
      </w:r>
    </w:p>
    <w:p>
      <w:pPr>
        <w:ind w:firstLine="420"/>
        <w:rPr>
          <w:rFonts w:hint="eastAsia"/>
          <w:bCs/>
          <w:sz w:val="24"/>
          <w:szCs w:val="24"/>
        </w:rPr>
      </w:pPr>
      <w:r>
        <w:rPr>
          <w:bCs/>
          <w:sz w:val="24"/>
          <w:szCs w:val="24"/>
        </w:rPr>
        <w:t>（1） 本项目的磋商文件；</w:t>
      </w:r>
    </w:p>
    <w:p>
      <w:pPr>
        <w:ind w:firstLine="420"/>
        <w:rPr>
          <w:rFonts w:hint="eastAsia"/>
          <w:bCs/>
          <w:sz w:val="24"/>
          <w:szCs w:val="24"/>
        </w:rPr>
      </w:pPr>
      <w:r>
        <w:rPr>
          <w:bCs/>
          <w:sz w:val="24"/>
          <w:szCs w:val="24"/>
        </w:rPr>
        <w:t>（2） 乙方的响应文件、有关投标的澄清资料及承诺书。</w:t>
      </w:r>
    </w:p>
    <w:p>
      <w:pPr>
        <w:rPr>
          <w:rFonts w:hint="eastAsia"/>
          <w:sz w:val="24"/>
          <w:szCs w:val="24"/>
        </w:rPr>
      </w:pPr>
    </w:p>
    <w:p>
      <w:pPr>
        <w:pStyle w:val="2"/>
        <w:rPr>
          <w:rFonts w:hint="eastAsia"/>
          <w:sz w:val="24"/>
          <w:szCs w:val="24"/>
        </w:rPr>
      </w:pPr>
    </w:p>
    <w:tbl>
      <w:tblPr>
        <w:tblStyle w:val="5"/>
        <w:tblpPr w:leftFromText="180" w:rightFromText="180" w:vertAnchor="text" w:horzAnchor="page" w:tblpX="1795" w:tblpY="233"/>
        <w:tblW w:w="8522" w:type="dxa"/>
        <w:tblInd w:w="0" w:type="dxa"/>
        <w:tblLayout w:type="fixed"/>
        <w:tblCellMar>
          <w:top w:w="0" w:type="dxa"/>
          <w:left w:w="108" w:type="dxa"/>
          <w:bottom w:w="0" w:type="dxa"/>
          <w:right w:w="108" w:type="dxa"/>
        </w:tblCellMar>
      </w:tblPr>
      <w:tblGrid>
        <w:gridCol w:w="4262"/>
        <w:gridCol w:w="4260"/>
      </w:tblGrid>
      <w:tr>
        <w:tblPrEx>
          <w:tblCellMar>
            <w:top w:w="0" w:type="dxa"/>
            <w:left w:w="108" w:type="dxa"/>
            <w:bottom w:w="0" w:type="dxa"/>
            <w:right w:w="108" w:type="dxa"/>
          </w:tblCellMar>
        </w:tblPrEx>
        <w:tc>
          <w:tcPr>
            <w:tcW w:w="4261" w:type="dxa"/>
          </w:tcPr>
          <w:p>
            <w:pPr>
              <w:tabs>
                <w:tab w:val="left" w:pos="360"/>
              </w:tabs>
              <w:rPr>
                <w:rFonts w:hint="eastAsia"/>
                <w:bCs/>
                <w:sz w:val="24"/>
                <w:szCs w:val="24"/>
              </w:rPr>
            </w:pPr>
            <w:r>
              <w:rPr>
                <w:bCs/>
                <w:sz w:val="24"/>
                <w:szCs w:val="24"/>
              </w:rPr>
              <w:t>甲方（公章）：</w:t>
            </w:r>
            <w:r>
              <w:rPr>
                <w:rFonts w:hint="eastAsia"/>
                <w:bCs/>
                <w:sz w:val="24"/>
                <w:szCs w:val="24"/>
              </w:rPr>
              <w:t>天津市津南区农业农村委员会</w:t>
            </w:r>
          </w:p>
        </w:tc>
        <w:tc>
          <w:tcPr>
            <w:tcW w:w="4260" w:type="dxa"/>
          </w:tcPr>
          <w:p>
            <w:pPr>
              <w:tabs>
                <w:tab w:val="left" w:pos="360"/>
              </w:tabs>
              <w:ind w:firstLine="420"/>
              <w:rPr>
                <w:rFonts w:hint="eastAsia"/>
                <w:bCs/>
                <w:sz w:val="24"/>
                <w:szCs w:val="24"/>
              </w:rPr>
            </w:pPr>
            <w:r>
              <w:rPr>
                <w:bCs/>
                <w:sz w:val="24"/>
                <w:szCs w:val="24"/>
              </w:rPr>
              <w:t>乙方（公章）：天津市农业科学院</w:t>
            </w:r>
          </w:p>
        </w:tc>
      </w:tr>
      <w:tr>
        <w:tblPrEx>
          <w:tblCellMar>
            <w:top w:w="0" w:type="dxa"/>
            <w:left w:w="108" w:type="dxa"/>
            <w:bottom w:w="0" w:type="dxa"/>
            <w:right w:w="108" w:type="dxa"/>
          </w:tblCellMar>
        </w:tblPrEx>
        <w:tc>
          <w:tcPr>
            <w:tcW w:w="4261" w:type="dxa"/>
          </w:tcPr>
          <w:p>
            <w:pPr>
              <w:tabs>
                <w:tab w:val="left" w:pos="360"/>
              </w:tabs>
              <w:rPr>
                <w:rFonts w:hint="eastAsia"/>
                <w:bCs/>
                <w:sz w:val="24"/>
                <w:szCs w:val="24"/>
              </w:rPr>
            </w:pPr>
            <w:r>
              <w:rPr>
                <w:bCs/>
                <w:sz w:val="24"/>
                <w:szCs w:val="24"/>
              </w:rPr>
              <w:t>地址：</w:t>
            </w:r>
            <w:r>
              <w:rPr>
                <w:rFonts w:hint="eastAsia"/>
                <w:bCs/>
                <w:sz w:val="24"/>
                <w:szCs w:val="24"/>
              </w:rPr>
              <w:t>天津市津南区咸水沽镇红旗路9号</w:t>
            </w:r>
          </w:p>
        </w:tc>
        <w:tc>
          <w:tcPr>
            <w:tcW w:w="4260" w:type="dxa"/>
          </w:tcPr>
          <w:p>
            <w:pPr>
              <w:tabs>
                <w:tab w:val="left" w:pos="360"/>
              </w:tabs>
              <w:ind w:firstLine="420"/>
              <w:rPr>
                <w:rFonts w:hint="eastAsia"/>
                <w:bCs/>
                <w:sz w:val="24"/>
                <w:szCs w:val="24"/>
              </w:rPr>
            </w:pPr>
            <w:r>
              <w:rPr>
                <w:bCs/>
                <w:sz w:val="24"/>
                <w:szCs w:val="24"/>
              </w:rPr>
              <w:t>地址：</w:t>
            </w:r>
            <w:r>
              <w:rPr>
                <w:rFonts w:hint="eastAsia"/>
                <w:bCs/>
                <w:sz w:val="24"/>
                <w:szCs w:val="24"/>
              </w:rPr>
              <w:t>天津市西青区津静公路</w:t>
            </w:r>
            <w:r>
              <w:rPr>
                <w:bCs/>
                <w:sz w:val="24"/>
                <w:szCs w:val="24"/>
              </w:rPr>
              <w:t>17公里处</w:t>
            </w:r>
          </w:p>
        </w:tc>
      </w:tr>
      <w:tr>
        <w:tblPrEx>
          <w:tblCellMar>
            <w:top w:w="0" w:type="dxa"/>
            <w:left w:w="108" w:type="dxa"/>
            <w:bottom w:w="0" w:type="dxa"/>
            <w:right w:w="108" w:type="dxa"/>
          </w:tblCellMar>
        </w:tblPrEx>
        <w:tc>
          <w:tcPr>
            <w:tcW w:w="4261" w:type="dxa"/>
          </w:tcPr>
          <w:p>
            <w:pPr>
              <w:tabs>
                <w:tab w:val="left" w:pos="360"/>
              </w:tabs>
              <w:rPr>
                <w:rFonts w:hint="eastAsia"/>
                <w:bCs/>
                <w:sz w:val="24"/>
                <w:szCs w:val="24"/>
              </w:rPr>
            </w:pPr>
            <w:r>
              <w:rPr>
                <w:bCs/>
                <w:sz w:val="24"/>
                <w:szCs w:val="24"/>
              </w:rPr>
              <w:t>法定代表人：</w:t>
            </w:r>
          </w:p>
        </w:tc>
        <w:tc>
          <w:tcPr>
            <w:tcW w:w="4260" w:type="dxa"/>
          </w:tcPr>
          <w:p>
            <w:pPr>
              <w:tabs>
                <w:tab w:val="left" w:pos="360"/>
              </w:tabs>
              <w:ind w:firstLine="420"/>
              <w:rPr>
                <w:rFonts w:hint="eastAsia"/>
                <w:bCs/>
                <w:sz w:val="24"/>
                <w:szCs w:val="24"/>
              </w:rPr>
            </w:pPr>
            <w:r>
              <w:rPr>
                <w:bCs/>
                <w:sz w:val="24"/>
                <w:szCs w:val="24"/>
              </w:rPr>
              <w:t>法定代表人：</w:t>
            </w:r>
            <w:r>
              <w:rPr>
                <w:rFonts w:hint="eastAsia"/>
                <w:bCs/>
                <w:sz w:val="24"/>
                <w:szCs w:val="24"/>
              </w:rPr>
              <w:t>金天明</w:t>
            </w:r>
          </w:p>
        </w:tc>
      </w:tr>
      <w:tr>
        <w:tc>
          <w:tcPr>
            <w:tcW w:w="4261" w:type="dxa"/>
          </w:tcPr>
          <w:p>
            <w:pPr>
              <w:tabs>
                <w:tab w:val="left" w:pos="360"/>
              </w:tabs>
              <w:rPr>
                <w:rFonts w:hint="eastAsia"/>
                <w:bCs/>
                <w:sz w:val="24"/>
                <w:szCs w:val="24"/>
              </w:rPr>
            </w:pPr>
            <w:r>
              <w:rPr>
                <w:bCs/>
                <w:sz w:val="24"/>
                <w:szCs w:val="24"/>
              </w:rPr>
              <w:t>委托代理人：</w:t>
            </w:r>
          </w:p>
        </w:tc>
        <w:tc>
          <w:tcPr>
            <w:tcW w:w="4260" w:type="dxa"/>
          </w:tcPr>
          <w:p>
            <w:pPr>
              <w:tabs>
                <w:tab w:val="left" w:pos="360"/>
              </w:tabs>
              <w:ind w:firstLine="420"/>
              <w:rPr>
                <w:rFonts w:hint="eastAsia"/>
                <w:bCs/>
                <w:sz w:val="24"/>
                <w:szCs w:val="24"/>
              </w:rPr>
            </w:pPr>
            <w:r>
              <w:rPr>
                <w:bCs/>
                <w:sz w:val="24"/>
                <w:szCs w:val="24"/>
              </w:rPr>
              <w:t>委托代理人：刘烨潼</w:t>
            </w:r>
          </w:p>
        </w:tc>
      </w:tr>
      <w:tr>
        <w:tblPrEx>
          <w:tblCellMar>
            <w:top w:w="0" w:type="dxa"/>
            <w:left w:w="108" w:type="dxa"/>
            <w:bottom w:w="0" w:type="dxa"/>
            <w:right w:w="108" w:type="dxa"/>
          </w:tblCellMar>
        </w:tblPrEx>
        <w:tc>
          <w:tcPr>
            <w:tcW w:w="4261" w:type="dxa"/>
          </w:tcPr>
          <w:p>
            <w:pPr>
              <w:tabs>
                <w:tab w:val="left" w:pos="360"/>
              </w:tabs>
              <w:rPr>
                <w:rFonts w:hint="eastAsia"/>
                <w:bCs/>
                <w:sz w:val="24"/>
                <w:szCs w:val="24"/>
              </w:rPr>
            </w:pPr>
            <w:r>
              <w:rPr>
                <w:bCs/>
                <w:sz w:val="24"/>
                <w:szCs w:val="24"/>
              </w:rPr>
              <w:t>电话：</w:t>
            </w:r>
          </w:p>
        </w:tc>
        <w:tc>
          <w:tcPr>
            <w:tcW w:w="4260" w:type="dxa"/>
          </w:tcPr>
          <w:p>
            <w:pPr>
              <w:tabs>
                <w:tab w:val="left" w:pos="360"/>
              </w:tabs>
              <w:ind w:firstLine="420"/>
              <w:rPr>
                <w:rFonts w:hint="eastAsia"/>
                <w:bCs/>
                <w:sz w:val="24"/>
                <w:szCs w:val="24"/>
              </w:rPr>
            </w:pPr>
            <w:r>
              <w:rPr>
                <w:bCs/>
                <w:sz w:val="24"/>
                <w:szCs w:val="24"/>
              </w:rPr>
              <w:t>电话：13920309466</w:t>
            </w:r>
          </w:p>
        </w:tc>
      </w:tr>
    </w:tbl>
    <w:p>
      <w:pPr>
        <w:ind w:firstLine="420"/>
        <w:rPr>
          <w:rFonts w:hint="eastAsia"/>
          <w:bCs/>
          <w:sz w:val="24"/>
          <w:szCs w:val="24"/>
        </w:rPr>
      </w:pPr>
    </w:p>
    <w:p>
      <w:pPr>
        <w:ind w:firstLine="420"/>
        <w:rPr>
          <w:rFonts w:hint="eastAsia"/>
          <w:bCs/>
          <w:sz w:val="24"/>
          <w:szCs w:val="24"/>
        </w:rPr>
      </w:pPr>
      <w:r>
        <w:rPr>
          <w:bCs/>
          <w:sz w:val="24"/>
          <w:szCs w:val="24"/>
        </w:rPr>
        <w:t>合同签订时间：</w:t>
      </w:r>
      <w:r>
        <w:rPr>
          <w:rFonts w:hint="eastAsia"/>
          <w:bCs/>
          <w:sz w:val="24"/>
          <w:szCs w:val="24"/>
          <w:u w:val="single"/>
        </w:rPr>
        <w:t>2025</w:t>
      </w:r>
      <w:r>
        <w:rPr>
          <w:bCs/>
          <w:sz w:val="24"/>
          <w:szCs w:val="24"/>
        </w:rPr>
        <w:t>年</w:t>
      </w:r>
      <w:r>
        <w:rPr>
          <w:rFonts w:hint="eastAsia"/>
          <w:bCs/>
          <w:sz w:val="24"/>
          <w:szCs w:val="24"/>
          <w:u w:val="single"/>
        </w:rPr>
        <w:t>05</w:t>
      </w:r>
      <w:r>
        <w:rPr>
          <w:bCs/>
          <w:sz w:val="24"/>
          <w:szCs w:val="24"/>
        </w:rPr>
        <w:t>月</w:t>
      </w:r>
      <w:bookmarkStart w:id="0" w:name="_GoBack"/>
      <w:r>
        <w:rPr>
          <w:rFonts w:hint="eastAsia"/>
          <w:bCs/>
          <w:sz w:val="24"/>
          <w:szCs w:val="24"/>
          <w:highlight w:val="none"/>
          <w:u w:val="single"/>
          <w:lang w:val="en-US" w:eastAsia="zh-CN"/>
        </w:rPr>
        <w:t xml:space="preserve">  </w:t>
      </w:r>
      <w:bookmarkEnd w:id="0"/>
      <w:r>
        <w:rPr>
          <w:bCs/>
          <w:sz w:val="24"/>
          <w:szCs w:val="24"/>
        </w:rPr>
        <w:t>日</w:t>
      </w:r>
    </w:p>
    <w:p>
      <w:pPr>
        <w:rPr>
          <w:rFonts w:hint="eastAsia"/>
          <w:bCs/>
          <w:sz w:val="24"/>
          <w:szCs w:val="24"/>
        </w:rPr>
      </w:pPr>
      <w:r>
        <w:rPr>
          <w:sz w:val="24"/>
          <w:szCs w:val="24"/>
        </w:rPr>
        <w:br w:type="page"/>
      </w:r>
    </w:p>
    <w:p>
      <w:pPr>
        <w:tabs>
          <w:tab w:val="left" w:pos="360"/>
        </w:tabs>
        <w:jc w:val="center"/>
        <w:rPr>
          <w:rFonts w:hint="eastAsia"/>
          <w:b/>
          <w:sz w:val="24"/>
          <w:szCs w:val="32"/>
        </w:rPr>
      </w:pPr>
      <w:r>
        <w:rPr>
          <w:b/>
          <w:sz w:val="24"/>
          <w:szCs w:val="32"/>
        </w:rPr>
        <w:t>合同附件</w:t>
      </w:r>
    </w:p>
    <w:p>
      <w:pPr>
        <w:tabs>
          <w:tab w:val="left" w:pos="360"/>
        </w:tabs>
        <w:rPr>
          <w:rFonts w:hint="eastAsia"/>
          <w:bCs/>
          <w:sz w:val="24"/>
          <w:szCs w:val="24"/>
        </w:rPr>
      </w:pPr>
    </w:p>
    <w:p>
      <w:pPr>
        <w:tabs>
          <w:tab w:val="left" w:pos="360"/>
        </w:tabs>
        <w:rPr>
          <w:rFonts w:hint="eastAsia"/>
          <w:bCs/>
          <w:sz w:val="24"/>
          <w:szCs w:val="24"/>
        </w:rPr>
      </w:pPr>
      <w:r>
        <w:rPr>
          <w:bCs/>
          <w:sz w:val="24"/>
          <w:szCs w:val="24"/>
        </w:rPr>
        <w:t>附件1. 合同价格清单</w:t>
      </w:r>
    </w:p>
    <w:p>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项目名称：</w:t>
      </w:r>
      <w:r>
        <w:rPr>
          <w:rFonts w:hint="eastAsia" w:asciiTheme="minorEastAsia" w:hAnsiTheme="minorEastAsia" w:eastAsiaTheme="minorEastAsia"/>
          <w:sz w:val="24"/>
          <w:szCs w:val="24"/>
          <w:u w:val="single"/>
        </w:rPr>
        <w:t>津南区2025-2026年度农产品质量安全检测项目</w:t>
      </w:r>
    </w:p>
    <w:p>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项目编号：</w:t>
      </w:r>
      <w:r>
        <w:rPr>
          <w:rFonts w:hint="eastAsia" w:asciiTheme="minorEastAsia" w:hAnsiTheme="minorEastAsia" w:eastAsiaTheme="minorEastAsia"/>
          <w:sz w:val="24"/>
          <w:szCs w:val="24"/>
          <w:u w:val="single"/>
        </w:rPr>
        <w:t>HTZJ2025（ZBF）-0317</w:t>
      </w:r>
    </w:p>
    <w:p>
      <w:pPr>
        <w:ind w:right="91"/>
        <w:rPr>
          <w:rFonts w:hint="eastAsia" w:asciiTheme="minorEastAsia" w:hAnsiTheme="minorEastAsia" w:eastAsiaTheme="minorEastAsia"/>
          <w:sz w:val="24"/>
          <w:szCs w:val="24"/>
          <w:u w:val="single"/>
        </w:rPr>
      </w:pPr>
      <w:r>
        <w:rPr>
          <w:rFonts w:hint="eastAsia" w:asciiTheme="minorEastAsia" w:hAnsiTheme="minorEastAsia" w:eastAsiaTheme="minorEastAsia"/>
          <w:sz w:val="24"/>
          <w:szCs w:val="24"/>
        </w:rPr>
        <w:t>包号：</w:t>
      </w:r>
      <w:r>
        <w:rPr>
          <w:rFonts w:hint="eastAsia" w:asciiTheme="minorEastAsia" w:hAnsiTheme="minorEastAsia" w:eastAsiaTheme="minorEastAsia"/>
          <w:sz w:val="24"/>
          <w:szCs w:val="24"/>
          <w:u w:val="single"/>
        </w:rPr>
        <w:t xml:space="preserve">       第三包           </w:t>
      </w:r>
    </w:p>
    <w:p>
      <w:pPr>
        <w:pStyle w:val="2"/>
        <w:jc w:val="right"/>
        <w:rPr>
          <w:rFonts w:hint="eastAsia"/>
          <w:sz w:val="24"/>
          <w:szCs w:val="24"/>
        </w:rPr>
      </w:pPr>
      <w:r>
        <w:rPr>
          <w:rFonts w:hint="eastAsia"/>
          <w:sz w:val="24"/>
          <w:szCs w:val="24"/>
        </w:rPr>
        <w:t>单位：元</w:t>
      </w:r>
    </w:p>
    <w:tbl>
      <w:tblPr>
        <w:tblStyle w:val="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2221"/>
        <w:gridCol w:w="1607"/>
        <w:gridCol w:w="2115"/>
        <w:gridCol w:w="1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86" w:type="pct"/>
            <w:vAlign w:val="center"/>
          </w:tcPr>
          <w:p>
            <w:pPr>
              <w:rPr>
                <w:rFonts w:hint="eastAsia"/>
                <w:sz w:val="24"/>
                <w:szCs w:val="24"/>
              </w:rPr>
            </w:pPr>
            <w:r>
              <w:rPr>
                <w:rFonts w:hint="eastAsia"/>
                <w:sz w:val="24"/>
                <w:szCs w:val="24"/>
              </w:rPr>
              <w:t>项号</w:t>
            </w:r>
          </w:p>
        </w:tc>
        <w:tc>
          <w:tcPr>
            <w:tcW w:w="1303" w:type="pct"/>
            <w:vAlign w:val="center"/>
          </w:tcPr>
          <w:p>
            <w:pPr>
              <w:rPr>
                <w:rFonts w:hint="eastAsia"/>
                <w:sz w:val="24"/>
                <w:szCs w:val="24"/>
              </w:rPr>
            </w:pPr>
            <w:r>
              <w:rPr>
                <w:rFonts w:hint="eastAsia"/>
                <w:sz w:val="24"/>
                <w:szCs w:val="24"/>
              </w:rPr>
              <w:t>服务名称</w:t>
            </w:r>
          </w:p>
        </w:tc>
        <w:tc>
          <w:tcPr>
            <w:tcW w:w="943" w:type="pct"/>
            <w:vAlign w:val="center"/>
          </w:tcPr>
          <w:p>
            <w:pPr>
              <w:rPr>
                <w:rFonts w:hint="eastAsia"/>
                <w:sz w:val="24"/>
                <w:szCs w:val="24"/>
              </w:rPr>
            </w:pPr>
            <w:r>
              <w:rPr>
                <w:rFonts w:hint="eastAsia"/>
                <w:sz w:val="24"/>
                <w:szCs w:val="24"/>
              </w:rPr>
              <w:t>总价</w:t>
            </w:r>
          </w:p>
        </w:tc>
        <w:tc>
          <w:tcPr>
            <w:tcW w:w="1241" w:type="pct"/>
            <w:vAlign w:val="center"/>
          </w:tcPr>
          <w:p>
            <w:pPr>
              <w:rPr>
                <w:rFonts w:hint="eastAsia"/>
                <w:sz w:val="24"/>
                <w:szCs w:val="24"/>
              </w:rPr>
            </w:pPr>
            <w:r>
              <w:rPr>
                <w:rFonts w:hint="eastAsia"/>
                <w:sz w:val="24"/>
                <w:szCs w:val="24"/>
              </w:rPr>
              <w:t>数量</w:t>
            </w:r>
          </w:p>
        </w:tc>
        <w:tc>
          <w:tcPr>
            <w:tcW w:w="1025" w:type="pct"/>
            <w:vAlign w:val="center"/>
          </w:tcPr>
          <w:p>
            <w:pPr>
              <w:rPr>
                <w:rFonts w:hint="eastAsia"/>
                <w:sz w:val="24"/>
                <w:szCs w:val="24"/>
              </w:rPr>
            </w:pPr>
            <w:r>
              <w:rPr>
                <w:rFonts w:hint="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86" w:type="pct"/>
            <w:vAlign w:val="center"/>
          </w:tcPr>
          <w:p>
            <w:pPr>
              <w:jc w:val="center"/>
              <w:rPr>
                <w:rFonts w:hint="eastAsia"/>
                <w:sz w:val="24"/>
                <w:szCs w:val="24"/>
              </w:rPr>
            </w:pPr>
            <w:r>
              <w:rPr>
                <w:rFonts w:hint="eastAsia"/>
                <w:sz w:val="24"/>
                <w:szCs w:val="24"/>
              </w:rPr>
              <w:t>1</w:t>
            </w:r>
          </w:p>
        </w:tc>
        <w:tc>
          <w:tcPr>
            <w:tcW w:w="1303" w:type="pct"/>
            <w:vAlign w:val="center"/>
          </w:tcPr>
          <w:p>
            <w:pPr>
              <w:rPr>
                <w:rFonts w:hint="eastAsia"/>
                <w:sz w:val="24"/>
                <w:szCs w:val="24"/>
              </w:rPr>
            </w:pPr>
            <w:r>
              <w:rPr>
                <w:rFonts w:hint="eastAsia"/>
                <w:sz w:val="24"/>
                <w:szCs w:val="24"/>
              </w:rPr>
              <w:t>500批次定量检测（非监督抽检）</w:t>
            </w:r>
          </w:p>
        </w:tc>
        <w:tc>
          <w:tcPr>
            <w:tcW w:w="943" w:type="pct"/>
            <w:vAlign w:val="center"/>
          </w:tcPr>
          <w:p>
            <w:pPr>
              <w:rPr>
                <w:rFonts w:hint="eastAsia"/>
                <w:sz w:val="24"/>
                <w:szCs w:val="24"/>
              </w:rPr>
            </w:pPr>
            <w:r>
              <w:rPr>
                <w:rFonts w:hint="eastAsia"/>
                <w:sz w:val="24"/>
                <w:szCs w:val="24"/>
              </w:rPr>
              <w:t>616000</w:t>
            </w:r>
          </w:p>
        </w:tc>
        <w:tc>
          <w:tcPr>
            <w:tcW w:w="1241" w:type="pct"/>
            <w:vAlign w:val="center"/>
          </w:tcPr>
          <w:p>
            <w:pPr>
              <w:jc w:val="center"/>
              <w:rPr>
                <w:rFonts w:hint="eastAsia"/>
                <w:sz w:val="24"/>
                <w:szCs w:val="24"/>
              </w:rPr>
            </w:pPr>
            <w:r>
              <w:rPr>
                <w:rFonts w:hint="eastAsia"/>
                <w:sz w:val="24"/>
                <w:szCs w:val="24"/>
              </w:rPr>
              <w:t>1项</w:t>
            </w:r>
          </w:p>
        </w:tc>
        <w:tc>
          <w:tcPr>
            <w:tcW w:w="1025" w:type="pct"/>
            <w:vAlign w:val="center"/>
          </w:tcPr>
          <w:p>
            <w:pPr>
              <w:jc w:val="center"/>
              <w:rPr>
                <w:rFonts w:hint="eastAsia"/>
                <w:sz w:val="24"/>
                <w:szCs w:val="24"/>
              </w:rPr>
            </w:pPr>
          </w:p>
        </w:tc>
      </w:tr>
    </w:tbl>
    <w:p>
      <w:pPr>
        <w:pStyle w:val="2"/>
        <w:rPr>
          <w:rFonts w:hint="eastAsia"/>
          <w:sz w:val="24"/>
          <w:szCs w:val="24"/>
        </w:rPr>
      </w:pPr>
    </w:p>
    <w:p>
      <w:pPr>
        <w:tabs>
          <w:tab w:val="left" w:pos="360"/>
        </w:tabs>
        <w:rPr>
          <w:rFonts w:hint="eastAsia"/>
          <w:bCs/>
          <w:sz w:val="24"/>
          <w:szCs w:val="24"/>
        </w:rPr>
      </w:pPr>
      <w:r>
        <w:rPr>
          <w:bCs/>
          <w:sz w:val="24"/>
          <w:szCs w:val="24"/>
        </w:rPr>
        <w:t>附件2. 合同项目明细清单</w:t>
      </w:r>
    </w:p>
    <w:p>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项目名称：</w:t>
      </w:r>
      <w:r>
        <w:rPr>
          <w:rFonts w:hint="eastAsia" w:asciiTheme="minorEastAsia" w:hAnsiTheme="minorEastAsia" w:eastAsiaTheme="minorEastAsia"/>
          <w:sz w:val="24"/>
          <w:szCs w:val="24"/>
          <w:u w:val="single"/>
        </w:rPr>
        <w:t>津南区2025-2026年度农产品质量安全检测项目</w:t>
      </w:r>
    </w:p>
    <w:p>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项目编号：</w:t>
      </w:r>
      <w:r>
        <w:rPr>
          <w:rFonts w:hint="eastAsia" w:asciiTheme="minorEastAsia" w:hAnsiTheme="minorEastAsia" w:eastAsiaTheme="minorEastAsia"/>
          <w:sz w:val="24"/>
          <w:szCs w:val="24"/>
          <w:u w:val="single"/>
        </w:rPr>
        <w:t>HTZJ2025（ZBF）-0317</w:t>
      </w:r>
    </w:p>
    <w:p>
      <w:pPr>
        <w:rPr>
          <w:rFonts w:hint="eastAsia" w:asciiTheme="minorEastAsia" w:hAnsiTheme="minorEastAsia" w:eastAsiaTheme="minorEastAsia"/>
          <w:sz w:val="24"/>
          <w:szCs w:val="24"/>
          <w:u w:val="single"/>
        </w:rPr>
      </w:pPr>
      <w:r>
        <w:rPr>
          <w:rFonts w:hint="eastAsia" w:asciiTheme="minorEastAsia" w:hAnsiTheme="minorEastAsia" w:eastAsiaTheme="minorEastAsia"/>
          <w:sz w:val="24"/>
          <w:szCs w:val="24"/>
        </w:rPr>
        <w:t>包号：</w:t>
      </w:r>
      <w:r>
        <w:rPr>
          <w:rFonts w:hint="eastAsia" w:asciiTheme="minorEastAsia" w:hAnsiTheme="minorEastAsia" w:eastAsiaTheme="minorEastAsia"/>
          <w:sz w:val="24"/>
          <w:szCs w:val="24"/>
          <w:u w:val="single"/>
        </w:rPr>
        <w:t xml:space="preserve">       第三包           </w:t>
      </w:r>
    </w:p>
    <w:p>
      <w:pPr>
        <w:ind w:firstLine="480" w:firstLineChars="200"/>
        <w:jc w:val="right"/>
        <w:rPr>
          <w:rFonts w:hint="eastAsia"/>
          <w:sz w:val="24"/>
          <w:szCs w:val="24"/>
        </w:rPr>
      </w:pPr>
      <w:r>
        <w:rPr>
          <w:rFonts w:hint="eastAsia"/>
          <w:sz w:val="24"/>
          <w:szCs w:val="24"/>
        </w:rPr>
        <w:t>单位：元</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53"/>
        <w:gridCol w:w="1607"/>
        <w:gridCol w:w="2115"/>
        <w:gridCol w:w="1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92" w:type="pct"/>
            <w:vAlign w:val="center"/>
          </w:tcPr>
          <w:p>
            <w:pPr>
              <w:rPr>
                <w:rFonts w:hint="eastAsia"/>
                <w:b/>
                <w:sz w:val="24"/>
                <w:szCs w:val="24"/>
              </w:rPr>
            </w:pPr>
            <w:r>
              <w:rPr>
                <w:rFonts w:hint="eastAsia"/>
                <w:b/>
                <w:sz w:val="24"/>
                <w:szCs w:val="24"/>
              </w:rPr>
              <w:t>分项名称</w:t>
            </w:r>
          </w:p>
        </w:tc>
        <w:tc>
          <w:tcPr>
            <w:tcW w:w="943" w:type="pct"/>
            <w:vAlign w:val="center"/>
          </w:tcPr>
          <w:p>
            <w:pPr>
              <w:rPr>
                <w:rFonts w:hint="eastAsia"/>
                <w:b/>
                <w:sz w:val="24"/>
                <w:szCs w:val="24"/>
              </w:rPr>
            </w:pPr>
            <w:r>
              <w:rPr>
                <w:rFonts w:hint="eastAsia"/>
                <w:b/>
                <w:sz w:val="24"/>
                <w:szCs w:val="24"/>
              </w:rPr>
              <w:t>价格</w:t>
            </w:r>
          </w:p>
        </w:tc>
        <w:tc>
          <w:tcPr>
            <w:tcW w:w="1241" w:type="pct"/>
            <w:vAlign w:val="center"/>
          </w:tcPr>
          <w:p>
            <w:pPr>
              <w:rPr>
                <w:rFonts w:hint="eastAsia"/>
                <w:b/>
                <w:sz w:val="24"/>
                <w:szCs w:val="24"/>
              </w:rPr>
            </w:pPr>
            <w:r>
              <w:rPr>
                <w:rFonts w:hint="eastAsia"/>
                <w:b/>
                <w:sz w:val="24"/>
                <w:szCs w:val="24"/>
              </w:rPr>
              <w:t>数量</w:t>
            </w:r>
          </w:p>
        </w:tc>
        <w:tc>
          <w:tcPr>
            <w:tcW w:w="1024" w:type="pct"/>
            <w:vAlign w:val="center"/>
          </w:tcPr>
          <w:p>
            <w:pPr>
              <w:rPr>
                <w:rFonts w:hint="eastAsia"/>
                <w:b/>
                <w:sz w:val="24"/>
                <w:szCs w:val="24"/>
              </w:rPr>
            </w:pPr>
            <w:r>
              <w:rPr>
                <w:rFonts w:hint="eastAsia"/>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92" w:type="pct"/>
            <w:vAlign w:val="center"/>
          </w:tcPr>
          <w:p>
            <w:pPr>
              <w:jc w:val="center"/>
              <w:rPr>
                <w:rFonts w:hint="eastAsia"/>
                <w:sz w:val="24"/>
                <w:szCs w:val="24"/>
              </w:rPr>
            </w:pPr>
            <w:r>
              <w:rPr>
                <w:rFonts w:hint="eastAsia"/>
                <w:sz w:val="24"/>
                <w:szCs w:val="24"/>
                <w:lang w:val="zh-TW" w:bidi="zh-TW"/>
              </w:rPr>
              <w:t>蔬菜、食用菌、水果、粮食</w:t>
            </w:r>
          </w:p>
        </w:tc>
        <w:tc>
          <w:tcPr>
            <w:tcW w:w="943" w:type="pct"/>
            <w:vAlign w:val="center"/>
          </w:tcPr>
          <w:p>
            <w:pPr>
              <w:jc w:val="center"/>
              <w:rPr>
                <w:rFonts w:hint="eastAsia"/>
                <w:sz w:val="24"/>
                <w:szCs w:val="24"/>
              </w:rPr>
            </w:pPr>
            <w:r>
              <w:rPr>
                <w:rFonts w:hint="eastAsia"/>
                <w:sz w:val="24"/>
                <w:szCs w:val="24"/>
              </w:rPr>
              <w:t>1200</w:t>
            </w:r>
          </w:p>
        </w:tc>
        <w:tc>
          <w:tcPr>
            <w:tcW w:w="1241" w:type="pct"/>
            <w:vAlign w:val="center"/>
          </w:tcPr>
          <w:p>
            <w:pPr>
              <w:jc w:val="center"/>
              <w:rPr>
                <w:rFonts w:hint="eastAsia"/>
                <w:sz w:val="24"/>
                <w:szCs w:val="24"/>
              </w:rPr>
            </w:pPr>
            <w:r>
              <w:rPr>
                <w:rFonts w:hint="eastAsia"/>
                <w:sz w:val="24"/>
                <w:szCs w:val="24"/>
              </w:rPr>
              <w:t>380批</w:t>
            </w:r>
          </w:p>
        </w:tc>
        <w:tc>
          <w:tcPr>
            <w:tcW w:w="1024" w:type="pct"/>
            <w:vAlign w:val="center"/>
          </w:tcPr>
          <w:p>
            <w:pPr>
              <w:jc w:val="center"/>
              <w:rPr>
                <w:rFonts w:hint="eastAsia"/>
                <w:sz w:val="24"/>
                <w:szCs w:val="24"/>
              </w:rPr>
            </w:pPr>
            <w:r>
              <w:rPr>
                <w:rFonts w:hint="eastAsia"/>
                <w:sz w:val="24"/>
                <w:szCs w:val="24"/>
              </w:rPr>
              <w:t>456000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92" w:type="pct"/>
            <w:vAlign w:val="center"/>
          </w:tcPr>
          <w:p>
            <w:pPr>
              <w:widowControl/>
              <w:jc w:val="center"/>
              <w:textAlignment w:val="center"/>
              <w:rPr>
                <w:rFonts w:hint="eastAsia"/>
                <w:kern w:val="0"/>
                <w:sz w:val="24"/>
                <w:szCs w:val="24"/>
                <w:lang w:bidi="ar"/>
              </w:rPr>
            </w:pPr>
            <w:r>
              <w:rPr>
                <w:rFonts w:hint="eastAsia"/>
                <w:kern w:val="0"/>
                <w:sz w:val="24"/>
                <w:szCs w:val="24"/>
                <w:lang w:bidi="ar"/>
              </w:rPr>
              <w:t>牛、羊、猪尿液</w:t>
            </w:r>
          </w:p>
        </w:tc>
        <w:tc>
          <w:tcPr>
            <w:tcW w:w="943" w:type="pct"/>
            <w:vMerge w:val="restart"/>
            <w:vAlign w:val="center"/>
          </w:tcPr>
          <w:p>
            <w:pPr>
              <w:jc w:val="center"/>
              <w:rPr>
                <w:rFonts w:hint="eastAsia"/>
                <w:sz w:val="24"/>
                <w:szCs w:val="24"/>
              </w:rPr>
            </w:pPr>
            <w:r>
              <w:rPr>
                <w:rFonts w:hint="eastAsia"/>
                <w:sz w:val="24"/>
                <w:szCs w:val="24"/>
              </w:rPr>
              <w:t>1200</w:t>
            </w:r>
          </w:p>
        </w:tc>
        <w:tc>
          <w:tcPr>
            <w:tcW w:w="1241" w:type="pct"/>
            <w:vMerge w:val="restart"/>
            <w:vAlign w:val="center"/>
          </w:tcPr>
          <w:p>
            <w:pPr>
              <w:jc w:val="center"/>
              <w:rPr>
                <w:rFonts w:hint="eastAsia"/>
                <w:sz w:val="24"/>
                <w:szCs w:val="24"/>
              </w:rPr>
            </w:pPr>
            <w:r>
              <w:rPr>
                <w:rFonts w:hint="eastAsia"/>
                <w:sz w:val="24"/>
                <w:szCs w:val="24"/>
              </w:rPr>
              <w:t>100批</w:t>
            </w:r>
          </w:p>
        </w:tc>
        <w:tc>
          <w:tcPr>
            <w:tcW w:w="1024" w:type="pct"/>
            <w:vMerge w:val="restart"/>
            <w:vAlign w:val="center"/>
          </w:tcPr>
          <w:p>
            <w:pPr>
              <w:jc w:val="center"/>
              <w:rPr>
                <w:rFonts w:hint="eastAsia"/>
                <w:sz w:val="24"/>
                <w:szCs w:val="24"/>
              </w:rPr>
            </w:pPr>
            <w:r>
              <w:rPr>
                <w:rFonts w:hint="eastAsia"/>
                <w:sz w:val="24"/>
                <w:szCs w:val="24"/>
              </w:rPr>
              <w:t>120000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92" w:type="pct"/>
            <w:vAlign w:val="center"/>
          </w:tcPr>
          <w:p>
            <w:pPr>
              <w:jc w:val="center"/>
              <w:rPr>
                <w:rFonts w:hint="eastAsia"/>
                <w:sz w:val="24"/>
                <w:szCs w:val="24"/>
                <w:lang w:val="zh-TW" w:bidi="zh-TW"/>
              </w:rPr>
            </w:pPr>
            <w:r>
              <w:rPr>
                <w:rFonts w:hint="eastAsia"/>
                <w:kern w:val="0"/>
                <w:sz w:val="24"/>
                <w:szCs w:val="24"/>
                <w:lang w:bidi="ar"/>
              </w:rPr>
              <w:t>禽肉、禽蛋</w:t>
            </w:r>
          </w:p>
        </w:tc>
        <w:tc>
          <w:tcPr>
            <w:tcW w:w="943" w:type="pct"/>
            <w:vMerge w:val="continue"/>
            <w:vAlign w:val="center"/>
          </w:tcPr>
          <w:p>
            <w:pPr>
              <w:jc w:val="center"/>
              <w:rPr>
                <w:rFonts w:hint="eastAsia"/>
                <w:sz w:val="24"/>
                <w:szCs w:val="24"/>
              </w:rPr>
            </w:pPr>
          </w:p>
        </w:tc>
        <w:tc>
          <w:tcPr>
            <w:tcW w:w="1241" w:type="pct"/>
            <w:vMerge w:val="continue"/>
            <w:vAlign w:val="center"/>
          </w:tcPr>
          <w:p>
            <w:pPr>
              <w:jc w:val="center"/>
              <w:rPr>
                <w:rFonts w:hint="eastAsia"/>
                <w:sz w:val="24"/>
                <w:szCs w:val="24"/>
              </w:rPr>
            </w:pPr>
          </w:p>
        </w:tc>
        <w:tc>
          <w:tcPr>
            <w:tcW w:w="1024" w:type="pct"/>
            <w:vMerge w:val="continue"/>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92" w:type="pct"/>
            <w:vAlign w:val="center"/>
          </w:tcPr>
          <w:p>
            <w:pPr>
              <w:jc w:val="center"/>
              <w:rPr>
                <w:rFonts w:hint="eastAsia"/>
                <w:kern w:val="0"/>
                <w:sz w:val="24"/>
                <w:szCs w:val="24"/>
                <w:lang w:bidi="ar"/>
              </w:rPr>
            </w:pPr>
            <w:r>
              <w:rPr>
                <w:rFonts w:hint="eastAsia"/>
                <w:kern w:val="0"/>
                <w:sz w:val="24"/>
                <w:szCs w:val="24"/>
                <w:lang w:bidi="zh-TW"/>
              </w:rPr>
              <w:t>淡水养殖产品</w:t>
            </w:r>
          </w:p>
        </w:tc>
        <w:tc>
          <w:tcPr>
            <w:tcW w:w="943" w:type="pct"/>
            <w:vAlign w:val="center"/>
          </w:tcPr>
          <w:p>
            <w:pPr>
              <w:jc w:val="center"/>
              <w:rPr>
                <w:rFonts w:hint="eastAsia"/>
                <w:sz w:val="24"/>
                <w:szCs w:val="24"/>
              </w:rPr>
            </w:pPr>
            <w:r>
              <w:rPr>
                <w:rFonts w:hint="eastAsia"/>
                <w:sz w:val="24"/>
                <w:szCs w:val="24"/>
              </w:rPr>
              <w:t>2000</w:t>
            </w:r>
          </w:p>
        </w:tc>
        <w:tc>
          <w:tcPr>
            <w:tcW w:w="1241" w:type="pct"/>
            <w:vAlign w:val="center"/>
          </w:tcPr>
          <w:p>
            <w:pPr>
              <w:jc w:val="center"/>
              <w:rPr>
                <w:rFonts w:hint="eastAsia"/>
                <w:sz w:val="24"/>
                <w:szCs w:val="24"/>
              </w:rPr>
            </w:pPr>
            <w:r>
              <w:rPr>
                <w:rFonts w:hint="eastAsia"/>
                <w:sz w:val="24"/>
                <w:szCs w:val="24"/>
              </w:rPr>
              <w:t>20批</w:t>
            </w:r>
          </w:p>
        </w:tc>
        <w:tc>
          <w:tcPr>
            <w:tcW w:w="1024" w:type="pct"/>
            <w:vAlign w:val="center"/>
          </w:tcPr>
          <w:p>
            <w:pPr>
              <w:jc w:val="center"/>
              <w:rPr>
                <w:rFonts w:hint="eastAsia"/>
                <w:sz w:val="24"/>
                <w:szCs w:val="24"/>
              </w:rPr>
            </w:pPr>
            <w:r>
              <w:rPr>
                <w:rFonts w:hint="eastAsia"/>
                <w:sz w:val="24"/>
                <w:szCs w:val="24"/>
              </w:rPr>
              <w:t>40000</w:t>
            </w:r>
          </w:p>
        </w:tc>
      </w:tr>
    </w:tbl>
    <w:p>
      <w:pPr>
        <w:pStyle w:val="2"/>
        <w:rPr>
          <w:rFonts w:hint="eastAsia"/>
          <w:sz w:val="24"/>
          <w:szCs w:val="24"/>
        </w:rPr>
      </w:pPr>
    </w:p>
    <w:p>
      <w:pPr>
        <w:rPr>
          <w:rFonts w:hint="eastAsia"/>
          <w:bCs/>
          <w:sz w:val="24"/>
          <w:szCs w:val="24"/>
        </w:rPr>
      </w:pPr>
    </w:p>
    <w:p>
      <w:pPr>
        <w:rPr>
          <w:rFonts w:hint="eastAsia"/>
          <w:sz w:val="24"/>
          <w:szCs w:val="24"/>
        </w:rPr>
      </w:pPr>
    </w:p>
    <w:p>
      <w:pPr>
        <w:pStyle w:val="2"/>
        <w:rPr>
          <w:rFonts w:hint="eastAsia"/>
          <w:sz w:val="24"/>
          <w:szCs w:val="24"/>
        </w:rPr>
      </w:pPr>
    </w:p>
    <w:p>
      <w:pPr>
        <w:rPr>
          <w:rFonts w:hint="eastAsia"/>
          <w:sz w:val="24"/>
          <w:szCs w:val="24"/>
        </w:rPr>
      </w:pPr>
    </w:p>
    <w:p>
      <w:pPr>
        <w:widowControl/>
        <w:suppressAutoHyphens w:val="0"/>
        <w:spacing w:line="240" w:lineRule="auto"/>
        <w:jc w:val="left"/>
        <w:rPr>
          <w:rFonts w:hint="eastAsia"/>
          <w:sz w:val="24"/>
          <w:szCs w:val="24"/>
        </w:rPr>
      </w:pPr>
      <w:r>
        <w:rPr>
          <w:rFonts w:hint="eastAsia"/>
          <w:sz w:val="24"/>
          <w:szCs w:val="24"/>
        </w:rPr>
        <w:br w:type="page"/>
      </w:r>
    </w:p>
    <w:p>
      <w:pPr>
        <w:spacing w:line="560" w:lineRule="exact"/>
        <w:rPr>
          <w:rFonts w:hint="eastAsia"/>
          <w:sz w:val="24"/>
          <w:szCs w:val="24"/>
        </w:rPr>
      </w:pPr>
      <w:r>
        <w:rPr>
          <w:rFonts w:hint="eastAsia"/>
          <w:sz w:val="24"/>
          <w:szCs w:val="24"/>
        </w:rPr>
        <w:t>第三包：500批次定量检测（非监督抽检）</w:t>
      </w:r>
    </w:p>
    <w:tbl>
      <w:tblPr>
        <w:tblStyle w:val="5"/>
        <w:tblW w:w="4998" w:type="pct"/>
        <w:jc w:val="center"/>
        <w:tblLayout w:type="autofit"/>
        <w:tblCellMar>
          <w:top w:w="0" w:type="dxa"/>
          <w:left w:w="10" w:type="dxa"/>
          <w:bottom w:w="0" w:type="dxa"/>
          <w:right w:w="10" w:type="dxa"/>
        </w:tblCellMar>
      </w:tblPr>
      <w:tblGrid>
        <w:gridCol w:w="1139"/>
        <w:gridCol w:w="6627"/>
        <w:gridCol w:w="557"/>
      </w:tblGrid>
      <w:tr>
        <w:tblPrEx>
          <w:tblCellMar>
            <w:top w:w="0" w:type="dxa"/>
            <w:left w:w="10" w:type="dxa"/>
            <w:bottom w:w="0" w:type="dxa"/>
            <w:right w:w="10" w:type="dxa"/>
          </w:tblCellMar>
        </w:tblPrEx>
        <w:trPr>
          <w:trHeight w:val="590" w:hRule="exact"/>
          <w:jc w:val="center"/>
        </w:trPr>
        <w:tc>
          <w:tcPr>
            <w:tcW w:w="684" w:type="pct"/>
            <w:tcBorders>
              <w:top w:val="single" w:color="auto" w:sz="4" w:space="0"/>
              <w:left w:val="single" w:color="auto" w:sz="4" w:space="0"/>
              <w:bottom w:val="single" w:color="auto" w:sz="4" w:space="0"/>
            </w:tcBorders>
            <w:shd w:val="clear" w:color="auto" w:fill="auto"/>
            <w:vAlign w:val="center"/>
          </w:tcPr>
          <w:p>
            <w:pPr>
              <w:widowControl/>
              <w:jc w:val="center"/>
              <w:rPr>
                <w:rFonts w:hint="eastAsia"/>
                <w:kern w:val="0"/>
                <w:sz w:val="24"/>
                <w:szCs w:val="24"/>
                <w:lang w:val="zh-TW" w:eastAsia="zh-TW" w:bidi="zh-TW"/>
              </w:rPr>
            </w:pPr>
            <w:r>
              <w:rPr>
                <w:rFonts w:hint="eastAsia"/>
                <w:kern w:val="0"/>
                <w:sz w:val="24"/>
                <w:szCs w:val="24"/>
                <w:lang w:val="zh-TW" w:eastAsia="zh-TW" w:bidi="zh-TW"/>
              </w:rPr>
              <w:t>样品名称</w:t>
            </w:r>
          </w:p>
        </w:tc>
        <w:tc>
          <w:tcPr>
            <w:tcW w:w="3980" w:type="pct"/>
            <w:tcBorders>
              <w:top w:val="single" w:color="auto" w:sz="4" w:space="0"/>
              <w:left w:val="single" w:color="auto" w:sz="4" w:space="0"/>
              <w:bottom w:val="single" w:color="auto" w:sz="4" w:space="0"/>
            </w:tcBorders>
            <w:shd w:val="clear" w:color="auto" w:fill="auto"/>
            <w:vAlign w:val="center"/>
          </w:tcPr>
          <w:p>
            <w:pPr>
              <w:widowControl/>
              <w:jc w:val="center"/>
              <w:rPr>
                <w:rFonts w:hint="eastAsia"/>
                <w:kern w:val="0"/>
                <w:sz w:val="24"/>
                <w:szCs w:val="24"/>
                <w:lang w:val="zh-TW" w:eastAsia="zh-TW" w:bidi="zh-TW"/>
              </w:rPr>
            </w:pPr>
            <w:r>
              <w:rPr>
                <w:rFonts w:hint="eastAsia"/>
                <w:kern w:val="0"/>
                <w:sz w:val="24"/>
                <w:szCs w:val="24"/>
                <w:lang w:val="zh-TW" w:eastAsia="zh-TW" w:bidi="zh-TW"/>
              </w:rPr>
              <w:t>检测项目</w:t>
            </w:r>
          </w:p>
        </w:tc>
        <w:tc>
          <w:tcPr>
            <w:tcW w:w="33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kern w:val="0"/>
                <w:sz w:val="24"/>
                <w:szCs w:val="24"/>
                <w:lang w:val="zh-TW" w:bidi="zh-TW"/>
              </w:rPr>
            </w:pPr>
            <w:r>
              <w:rPr>
                <w:rFonts w:hint="eastAsia"/>
                <w:kern w:val="0"/>
                <w:sz w:val="24"/>
                <w:szCs w:val="24"/>
                <w:lang w:val="zh-TW" w:bidi="zh-TW"/>
              </w:rPr>
              <w:t>检测批次</w:t>
            </w:r>
          </w:p>
        </w:tc>
      </w:tr>
      <w:tr>
        <w:tblPrEx>
          <w:tblCellMar>
            <w:top w:w="0" w:type="dxa"/>
            <w:left w:w="10" w:type="dxa"/>
            <w:bottom w:w="0" w:type="dxa"/>
            <w:right w:w="10" w:type="dxa"/>
          </w:tblCellMar>
        </w:tblPrEx>
        <w:trPr>
          <w:trHeight w:val="6484" w:hRule="exact"/>
          <w:jc w:val="center"/>
        </w:trPr>
        <w:tc>
          <w:tcPr>
            <w:tcW w:w="684" w:type="pct"/>
            <w:tcBorders>
              <w:top w:val="single" w:color="auto" w:sz="4" w:space="0"/>
              <w:left w:val="single" w:color="auto" w:sz="4" w:space="0"/>
              <w:bottom w:val="single" w:color="auto" w:sz="4" w:space="0"/>
            </w:tcBorders>
            <w:shd w:val="clear" w:color="auto" w:fill="auto"/>
            <w:vAlign w:val="center"/>
          </w:tcPr>
          <w:p>
            <w:pPr>
              <w:rPr>
                <w:rFonts w:hint="eastAsia"/>
                <w:kern w:val="0"/>
                <w:sz w:val="24"/>
                <w:szCs w:val="24"/>
                <w:lang w:val="zh-TW" w:eastAsia="zh-TW" w:bidi="zh-TW"/>
              </w:rPr>
            </w:pPr>
          </w:p>
          <w:p>
            <w:pPr>
              <w:jc w:val="center"/>
              <w:rPr>
                <w:rFonts w:hint="eastAsia"/>
                <w:sz w:val="24"/>
                <w:szCs w:val="24"/>
                <w:lang w:val="zh-TW" w:bidi="zh-TW"/>
              </w:rPr>
            </w:pPr>
            <w:r>
              <w:rPr>
                <w:rFonts w:hint="eastAsia"/>
                <w:sz w:val="24"/>
                <w:szCs w:val="24"/>
                <w:lang w:val="zh-TW" w:bidi="zh-TW"/>
              </w:rPr>
              <w:t>蔬菜、食用菌、水果、粮食</w:t>
            </w:r>
          </w:p>
        </w:tc>
        <w:tc>
          <w:tcPr>
            <w:tcW w:w="3980" w:type="pct"/>
            <w:tcBorders>
              <w:top w:val="single" w:color="auto" w:sz="4" w:space="0"/>
              <w:left w:val="single" w:color="auto" w:sz="4" w:space="0"/>
              <w:bottom w:val="single" w:color="auto" w:sz="4" w:space="0"/>
              <w:right w:val="single" w:color="auto" w:sz="4" w:space="0"/>
            </w:tcBorders>
            <w:shd w:val="clear" w:color="auto" w:fill="auto"/>
          </w:tcPr>
          <w:p>
            <w:pPr>
              <w:rPr>
                <w:rFonts w:hint="eastAsia"/>
                <w:sz w:val="24"/>
                <w:szCs w:val="24"/>
                <w:lang w:val="zh-TW" w:bidi="zh-TW"/>
              </w:rPr>
            </w:pPr>
            <w:r>
              <w:rPr>
                <w:rFonts w:hint="eastAsia"/>
                <w:sz w:val="24"/>
                <w:szCs w:val="24"/>
                <w:lang w:val="zh-TW" w:bidi="zh-TW"/>
              </w:rPr>
              <w:t>禁用农药（</w:t>
            </w:r>
            <w:r>
              <w:rPr>
                <w:rFonts w:hint="eastAsia"/>
                <w:sz w:val="24"/>
                <w:szCs w:val="24"/>
                <w:lang w:val="zh-TW" w:eastAsia="zh-TW" w:bidi="zh-TW"/>
              </w:rPr>
              <w:t>13</w:t>
            </w:r>
            <w:r>
              <w:rPr>
                <w:rFonts w:hint="eastAsia"/>
                <w:sz w:val="24"/>
                <w:szCs w:val="24"/>
                <w:lang w:val="zh-TW" w:bidi="zh-TW"/>
              </w:rPr>
              <w:t>种）:甲胺磷、对硫磷、甲基对硫磷、六六六、三氯杀螨醇、甲拌磷（包括甲拌磷砜和甲拌磷亚砜）、 水胺硫磷、甲基异柳磷、氧乐果、克百威（包括3-羟基克百威）、涕灭威（包括涕灭威砜和涕灭威亚砜）、灭多威、丁硫克百威</w:t>
            </w:r>
            <w:r>
              <w:rPr>
                <w:rFonts w:hint="eastAsia"/>
                <w:sz w:val="24"/>
                <w:szCs w:val="24"/>
                <w:vertAlign w:val="superscript"/>
                <w:lang w:val="zh-TW" w:bidi="zh-TW"/>
              </w:rPr>
              <w:t>*</w:t>
            </w:r>
          </w:p>
          <w:p>
            <w:pPr>
              <w:rPr>
                <w:rFonts w:hint="eastAsia"/>
                <w:sz w:val="24"/>
                <w:szCs w:val="24"/>
                <w:lang w:val="zh-TW" w:bidi="zh-TW"/>
              </w:rPr>
            </w:pPr>
            <w:r>
              <w:rPr>
                <w:rFonts w:hint="eastAsia"/>
                <w:sz w:val="24"/>
                <w:szCs w:val="24"/>
                <w:lang w:val="zh-TW" w:bidi="zh-TW"/>
              </w:rPr>
              <w:t>限用农药（</w:t>
            </w:r>
            <w:r>
              <w:rPr>
                <w:rFonts w:hint="eastAsia"/>
                <w:sz w:val="24"/>
                <w:szCs w:val="24"/>
                <w:lang w:val="zh-TW" w:eastAsia="zh-TW" w:bidi="zh-TW"/>
              </w:rPr>
              <w:t>9</w:t>
            </w:r>
            <w:r>
              <w:rPr>
                <w:rFonts w:hint="eastAsia"/>
                <w:sz w:val="24"/>
                <w:szCs w:val="24"/>
                <w:lang w:val="zh-TW" w:bidi="zh-TW"/>
              </w:rPr>
              <w:t>种）：氟虫腈（包括氟甲腈、氟虫腈砜和氟虫腈硫醚）、毒死蜱、三唑磷、乐果、乙酰甲胺磷、内吸磷、硫环磷、氯唑磷、灭线磷*</w:t>
            </w:r>
          </w:p>
          <w:p>
            <w:pPr>
              <w:rPr>
                <w:rFonts w:hint="eastAsia"/>
                <w:kern w:val="0"/>
                <w:sz w:val="24"/>
                <w:szCs w:val="24"/>
                <w:lang w:val="zh-TW" w:bidi="zh-TW"/>
              </w:rPr>
            </w:pPr>
            <w:r>
              <w:rPr>
                <w:rFonts w:hint="eastAsia"/>
                <w:sz w:val="24"/>
                <w:szCs w:val="24"/>
                <w:lang w:val="zh-TW" w:bidi="zh-TW"/>
              </w:rPr>
              <w:t>常规农药（</w:t>
            </w:r>
            <w:r>
              <w:rPr>
                <w:rFonts w:hint="eastAsia"/>
                <w:sz w:val="24"/>
                <w:szCs w:val="24"/>
                <w:lang w:val="zh-TW" w:eastAsia="zh-TW" w:bidi="zh-TW"/>
              </w:rPr>
              <w:t>64</w:t>
            </w:r>
            <w:r>
              <w:rPr>
                <w:rFonts w:hint="eastAsia"/>
                <w:sz w:val="24"/>
                <w:szCs w:val="24"/>
                <w:lang w:val="zh-TW" w:bidi="zh-TW"/>
              </w:rPr>
              <w:t>种）:氰戊菊酯、敌敌畏、丙溴磷、杀螟硫磷、马拉硫磷、亚胺硫磷、辛硫磷、氯氰菊酯、甲氰菊酯、氯氟氰菊酯、氟氯氰菊酯、溴氰菊酯、联苯菊酯、三唑酮、百菌清、异菌脲、腐霉利、五氯硝基苯、乙烯菌核利、多菌灵、吡虫啉、啶虫脒、哒螨灵、苯醚甲环唑、嘧霉胺、甲氨基阿维菌素苯甲酸盐、烯酰吗啉、虫螨腈、咪鲜胺、嘧菌酯、二甲戊灵、噻虫嗪、氟啶脲、灭幼脲、灭蝇胺、甲霜灵、霜霉威、氯吡脲、氯虫苯甲酰胺、氯菊酯（异构体之和）、醚菊酯、虫酰肼、吡唑醚菌酯、阿维菌素、除虫脲、倍硫磷、戊唑醇、乙基多杀菌素、抑霉唑、多效唑*、丙环唑*、敌百虫*、多杀霉素*、噻苯隆*、噻虫胺*、肟菌酯*、腈菌唑*、氟吡菌酰胺*、咯菌腈*、啶酰菌胺*、唑虫酰胺*、茚虫威*、溴氰虫酰胺*、氟啶虫酰胺*</w:t>
            </w:r>
          </w:p>
        </w:tc>
        <w:tc>
          <w:tcPr>
            <w:tcW w:w="33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kern w:val="0"/>
                <w:sz w:val="24"/>
                <w:szCs w:val="24"/>
                <w:lang w:bidi="zh-TW"/>
              </w:rPr>
            </w:pPr>
            <w:r>
              <w:rPr>
                <w:rFonts w:hint="eastAsia"/>
                <w:kern w:val="0"/>
                <w:sz w:val="24"/>
                <w:szCs w:val="24"/>
                <w:lang w:bidi="zh-TW"/>
              </w:rPr>
              <w:t>380</w:t>
            </w:r>
          </w:p>
        </w:tc>
      </w:tr>
      <w:tr>
        <w:tblPrEx>
          <w:tblCellMar>
            <w:top w:w="0" w:type="dxa"/>
            <w:left w:w="10" w:type="dxa"/>
            <w:bottom w:w="0" w:type="dxa"/>
            <w:right w:w="10" w:type="dxa"/>
          </w:tblCellMar>
        </w:tblPrEx>
        <w:trPr>
          <w:trHeight w:val="940" w:hRule="exact"/>
          <w:jc w:val="center"/>
        </w:trPr>
        <w:tc>
          <w:tcPr>
            <w:tcW w:w="684" w:type="pct"/>
            <w:tcBorders>
              <w:top w:val="single" w:color="auto" w:sz="4" w:space="0"/>
              <w:left w:val="single" w:color="auto" w:sz="4" w:space="0"/>
              <w:bottom w:val="single" w:color="auto" w:sz="4" w:space="0"/>
            </w:tcBorders>
            <w:shd w:val="clear" w:color="auto" w:fill="auto"/>
            <w:vAlign w:val="center"/>
          </w:tcPr>
          <w:p>
            <w:pPr>
              <w:widowControl/>
              <w:jc w:val="center"/>
              <w:textAlignment w:val="center"/>
              <w:rPr>
                <w:rFonts w:hint="eastAsia"/>
                <w:kern w:val="0"/>
                <w:sz w:val="24"/>
                <w:szCs w:val="24"/>
                <w:lang w:bidi="ar"/>
              </w:rPr>
            </w:pPr>
            <w:r>
              <w:rPr>
                <w:rFonts w:hint="eastAsia"/>
                <w:kern w:val="0"/>
                <w:sz w:val="24"/>
                <w:szCs w:val="24"/>
                <w:lang w:bidi="ar"/>
              </w:rPr>
              <w:t>牛、羊、猪尿液</w:t>
            </w:r>
          </w:p>
          <w:p>
            <w:pPr>
              <w:jc w:val="center"/>
              <w:rPr>
                <w:rFonts w:hint="eastAsia"/>
                <w:sz w:val="24"/>
                <w:szCs w:val="24"/>
                <w:lang w:val="zh-TW" w:bidi="zh-TW"/>
              </w:rPr>
            </w:pPr>
          </w:p>
        </w:tc>
        <w:tc>
          <w:tcPr>
            <w:tcW w:w="3980" w:type="pct"/>
            <w:tcBorders>
              <w:top w:val="single" w:color="auto" w:sz="4" w:space="0"/>
              <w:left w:val="single" w:color="auto" w:sz="4" w:space="0"/>
              <w:bottom w:val="single" w:color="auto" w:sz="4" w:space="0"/>
              <w:right w:val="single" w:color="auto" w:sz="4" w:space="0"/>
            </w:tcBorders>
            <w:shd w:val="clear" w:color="auto" w:fill="auto"/>
          </w:tcPr>
          <w:p>
            <w:pPr>
              <w:rPr>
                <w:rFonts w:hint="eastAsia"/>
                <w:kern w:val="0"/>
                <w:sz w:val="24"/>
                <w:szCs w:val="24"/>
                <w:lang w:val="zh-TW" w:bidi="zh-TW"/>
              </w:rPr>
            </w:pPr>
            <w:r>
              <w:rPr>
                <w:rFonts w:hint="eastAsia"/>
                <w:sz w:val="24"/>
                <w:szCs w:val="24"/>
                <w:lang w:val="zh-TW" w:eastAsia="zh-TW" w:bidi="zh-TW"/>
              </w:rPr>
              <w:t>禁用药物</w:t>
            </w:r>
            <w:r>
              <w:rPr>
                <w:rFonts w:hint="eastAsia"/>
                <w:sz w:val="24"/>
                <w:szCs w:val="24"/>
                <w:lang w:val="zh-TW" w:bidi="zh-TW"/>
              </w:rPr>
              <w:t>：</w:t>
            </w:r>
            <w:r>
              <w:rPr>
                <w:rFonts w:hint="eastAsia"/>
                <w:sz w:val="24"/>
                <w:szCs w:val="24"/>
              </w:rPr>
              <w:t>β-受体激动剂类（克伦特罗、莱克多巴胺、沙丁胺醇）</w:t>
            </w:r>
          </w:p>
        </w:tc>
        <w:tc>
          <w:tcPr>
            <w:tcW w:w="334" w:type="pct"/>
            <w:vMerge w:val="restart"/>
            <w:tcBorders>
              <w:top w:val="single" w:color="auto" w:sz="4" w:space="0"/>
              <w:left w:val="single" w:color="auto" w:sz="4" w:space="0"/>
              <w:right w:val="single" w:color="auto" w:sz="4" w:space="0"/>
            </w:tcBorders>
            <w:shd w:val="clear" w:color="auto" w:fill="auto"/>
            <w:vAlign w:val="center"/>
          </w:tcPr>
          <w:p>
            <w:pPr>
              <w:jc w:val="center"/>
              <w:rPr>
                <w:rFonts w:hint="eastAsia"/>
                <w:kern w:val="0"/>
                <w:sz w:val="24"/>
                <w:szCs w:val="24"/>
                <w:lang w:bidi="zh-TW"/>
              </w:rPr>
            </w:pPr>
            <w:r>
              <w:rPr>
                <w:rFonts w:hint="eastAsia"/>
                <w:kern w:val="0"/>
                <w:sz w:val="24"/>
                <w:szCs w:val="24"/>
                <w:lang w:bidi="zh-TW"/>
              </w:rPr>
              <w:t>100</w:t>
            </w:r>
          </w:p>
        </w:tc>
      </w:tr>
      <w:tr>
        <w:tblPrEx>
          <w:tblCellMar>
            <w:top w:w="0" w:type="dxa"/>
            <w:left w:w="10" w:type="dxa"/>
            <w:bottom w:w="0" w:type="dxa"/>
            <w:right w:w="10" w:type="dxa"/>
          </w:tblCellMar>
        </w:tblPrEx>
        <w:trPr>
          <w:trHeight w:val="1296" w:hRule="exact"/>
          <w:jc w:val="center"/>
        </w:trPr>
        <w:tc>
          <w:tcPr>
            <w:tcW w:w="684" w:type="pct"/>
            <w:tcBorders>
              <w:top w:val="single" w:color="auto" w:sz="4" w:space="0"/>
              <w:left w:val="single" w:color="auto" w:sz="4" w:space="0"/>
              <w:bottom w:val="single" w:color="auto" w:sz="4" w:space="0"/>
            </w:tcBorders>
            <w:shd w:val="clear" w:color="auto" w:fill="auto"/>
            <w:vAlign w:val="center"/>
          </w:tcPr>
          <w:p>
            <w:pPr>
              <w:jc w:val="center"/>
              <w:rPr>
                <w:rFonts w:hint="eastAsia"/>
                <w:sz w:val="24"/>
                <w:szCs w:val="24"/>
                <w:lang w:val="zh-TW" w:bidi="zh-TW"/>
              </w:rPr>
            </w:pPr>
            <w:r>
              <w:rPr>
                <w:rFonts w:hint="eastAsia"/>
                <w:kern w:val="0"/>
                <w:sz w:val="24"/>
                <w:szCs w:val="24"/>
                <w:lang w:bidi="ar"/>
              </w:rPr>
              <w:t>禽肉、禽蛋</w:t>
            </w:r>
          </w:p>
        </w:tc>
        <w:tc>
          <w:tcPr>
            <w:tcW w:w="3980" w:type="pct"/>
            <w:tcBorders>
              <w:top w:val="single" w:color="auto" w:sz="4" w:space="0"/>
              <w:left w:val="single" w:color="auto" w:sz="4" w:space="0"/>
              <w:bottom w:val="single" w:color="auto" w:sz="4" w:space="0"/>
              <w:right w:val="single" w:color="auto" w:sz="4" w:space="0"/>
            </w:tcBorders>
            <w:shd w:val="clear" w:color="auto" w:fill="auto"/>
          </w:tcPr>
          <w:p>
            <w:pPr>
              <w:rPr>
                <w:rFonts w:hint="eastAsia"/>
                <w:sz w:val="24"/>
                <w:szCs w:val="24"/>
              </w:rPr>
            </w:pPr>
            <w:r>
              <w:rPr>
                <w:rFonts w:hint="eastAsia"/>
                <w:sz w:val="24"/>
                <w:szCs w:val="24"/>
                <w:lang w:val="zh-TW" w:eastAsia="zh-TW" w:bidi="zh-TW"/>
              </w:rPr>
              <w:t>食品动物中停止使用药物：</w:t>
            </w:r>
            <w:r>
              <w:rPr>
                <w:rFonts w:hint="eastAsia"/>
                <w:sz w:val="24"/>
                <w:szCs w:val="24"/>
              </w:rPr>
              <w:t>氟喹诺酮类（氧氟沙星、培氟沙星、诺氟沙星、洛美沙星）</w:t>
            </w:r>
            <w:r>
              <w:rPr>
                <w:rFonts w:hint="eastAsia"/>
                <w:sz w:val="24"/>
                <w:szCs w:val="24"/>
                <w:lang w:val="zh-TW" w:bidi="zh-TW"/>
              </w:rPr>
              <w:t>、</w:t>
            </w:r>
            <w:r>
              <w:rPr>
                <w:rFonts w:hint="eastAsia"/>
                <w:sz w:val="24"/>
                <w:szCs w:val="24"/>
              </w:rPr>
              <w:t>金刚烷胺</w:t>
            </w:r>
          </w:p>
          <w:p>
            <w:pPr>
              <w:pStyle w:val="11"/>
              <w:spacing w:line="360" w:lineRule="auto"/>
              <w:ind w:left="0" w:firstLine="0"/>
              <w:rPr>
                <w:rFonts w:hint="eastAsia"/>
                <w:sz w:val="24"/>
                <w:szCs w:val="24"/>
              </w:rPr>
            </w:pPr>
            <w:r>
              <w:rPr>
                <w:rFonts w:hint="eastAsia"/>
                <w:sz w:val="24"/>
                <w:szCs w:val="24"/>
                <w:lang w:val="zh-TW" w:bidi="zh-TW"/>
              </w:rPr>
              <w:t>禁用药物：</w:t>
            </w:r>
            <w:r>
              <w:rPr>
                <w:rFonts w:hint="eastAsia"/>
                <w:sz w:val="24"/>
                <w:szCs w:val="24"/>
              </w:rPr>
              <w:t>酰胺醇类（氯霉素）</w:t>
            </w:r>
          </w:p>
          <w:p>
            <w:pPr>
              <w:pStyle w:val="11"/>
              <w:spacing w:line="360" w:lineRule="auto"/>
              <w:ind w:left="0" w:firstLine="0"/>
              <w:rPr>
                <w:rFonts w:hint="eastAsia"/>
                <w:sz w:val="24"/>
                <w:szCs w:val="24"/>
              </w:rPr>
            </w:pPr>
          </w:p>
          <w:p>
            <w:pPr>
              <w:pStyle w:val="11"/>
              <w:spacing w:line="360" w:lineRule="auto"/>
              <w:ind w:left="0" w:firstLine="0"/>
              <w:rPr>
                <w:rFonts w:hint="eastAsia"/>
                <w:sz w:val="24"/>
                <w:szCs w:val="24"/>
              </w:rPr>
            </w:pPr>
          </w:p>
        </w:tc>
        <w:tc>
          <w:tcPr>
            <w:tcW w:w="334" w:type="pct"/>
            <w:vMerge w:val="continue"/>
            <w:tcBorders>
              <w:left w:val="single" w:color="auto" w:sz="4" w:space="0"/>
              <w:right w:val="single" w:color="auto" w:sz="4" w:space="0"/>
            </w:tcBorders>
            <w:shd w:val="clear" w:color="auto" w:fill="auto"/>
            <w:vAlign w:val="center"/>
          </w:tcPr>
          <w:p>
            <w:pPr>
              <w:jc w:val="center"/>
              <w:rPr>
                <w:rFonts w:hint="eastAsia"/>
                <w:kern w:val="0"/>
                <w:sz w:val="24"/>
                <w:szCs w:val="24"/>
                <w:lang w:bidi="zh-TW"/>
              </w:rPr>
            </w:pPr>
          </w:p>
        </w:tc>
      </w:tr>
      <w:tr>
        <w:tblPrEx>
          <w:tblCellMar>
            <w:top w:w="0" w:type="dxa"/>
            <w:left w:w="10" w:type="dxa"/>
            <w:bottom w:w="0" w:type="dxa"/>
            <w:right w:w="10" w:type="dxa"/>
          </w:tblCellMar>
        </w:tblPrEx>
        <w:trPr>
          <w:trHeight w:val="1075" w:hRule="exact"/>
          <w:jc w:val="center"/>
        </w:trPr>
        <w:tc>
          <w:tcPr>
            <w:tcW w:w="684" w:type="pct"/>
            <w:tcBorders>
              <w:top w:val="single" w:color="auto" w:sz="4" w:space="0"/>
              <w:left w:val="single" w:color="auto" w:sz="4" w:space="0"/>
              <w:bottom w:val="single" w:color="auto" w:sz="4" w:space="0"/>
            </w:tcBorders>
            <w:shd w:val="clear" w:color="auto" w:fill="auto"/>
            <w:vAlign w:val="center"/>
          </w:tcPr>
          <w:p>
            <w:pPr>
              <w:jc w:val="center"/>
              <w:rPr>
                <w:rFonts w:hint="eastAsia"/>
                <w:kern w:val="0"/>
                <w:sz w:val="24"/>
                <w:szCs w:val="24"/>
                <w:lang w:bidi="ar"/>
              </w:rPr>
            </w:pPr>
            <w:r>
              <w:rPr>
                <w:rFonts w:hint="eastAsia"/>
                <w:kern w:val="0"/>
                <w:sz w:val="24"/>
                <w:szCs w:val="24"/>
                <w:lang w:bidi="ar"/>
              </w:rPr>
              <w:t>禽蛋</w:t>
            </w:r>
          </w:p>
        </w:tc>
        <w:tc>
          <w:tcPr>
            <w:tcW w:w="3980" w:type="pct"/>
            <w:tcBorders>
              <w:top w:val="single" w:color="auto" w:sz="4" w:space="0"/>
              <w:left w:val="single" w:color="auto" w:sz="4" w:space="0"/>
              <w:bottom w:val="single" w:color="auto" w:sz="4" w:space="0"/>
              <w:right w:val="single" w:color="auto" w:sz="4" w:space="0"/>
            </w:tcBorders>
            <w:shd w:val="clear" w:color="auto" w:fill="auto"/>
          </w:tcPr>
          <w:p>
            <w:pPr>
              <w:rPr>
                <w:rFonts w:hint="eastAsia"/>
                <w:kern w:val="0"/>
                <w:sz w:val="24"/>
                <w:szCs w:val="24"/>
                <w:lang w:bidi="ar"/>
              </w:rPr>
            </w:pPr>
            <w:r>
              <w:rPr>
                <w:rFonts w:hint="eastAsia"/>
                <w:sz w:val="24"/>
                <w:szCs w:val="24"/>
                <w:lang w:val="zh-TW" w:eastAsia="zh-TW" w:bidi="zh-TW"/>
              </w:rPr>
              <w:t>产蛋期不得使用药物：</w:t>
            </w:r>
            <w:r>
              <w:rPr>
                <w:rFonts w:hint="eastAsia"/>
                <w:sz w:val="24"/>
                <w:szCs w:val="24"/>
              </w:rPr>
              <w:t>氟喹诺酮类（恩诺沙星、环丙沙星、沙拉沙星、达氟沙星）</w:t>
            </w:r>
            <w:r>
              <w:rPr>
                <w:rFonts w:hint="eastAsia"/>
                <w:sz w:val="24"/>
                <w:szCs w:val="24"/>
                <w:lang w:val="zh-TW" w:bidi="zh-TW"/>
              </w:rPr>
              <w:t>、</w:t>
            </w:r>
            <w:r>
              <w:rPr>
                <w:rFonts w:hint="eastAsia"/>
                <w:sz w:val="24"/>
                <w:szCs w:val="24"/>
              </w:rPr>
              <w:t>酰胺醇类（氟苯尼考、氟苯尼考胺、甲砜霉素）</w:t>
            </w:r>
            <w:r>
              <w:rPr>
                <w:rFonts w:hint="eastAsia"/>
                <w:sz w:val="24"/>
                <w:szCs w:val="24"/>
                <w:lang w:val="zh-TW" w:bidi="zh-TW"/>
              </w:rPr>
              <w:t>、</w:t>
            </w:r>
            <w:r>
              <w:rPr>
                <w:rFonts w:hint="eastAsia"/>
                <w:sz w:val="24"/>
                <w:szCs w:val="24"/>
              </w:rPr>
              <w:t>四环素类（多西环素）</w:t>
            </w:r>
          </w:p>
        </w:tc>
        <w:tc>
          <w:tcPr>
            <w:tcW w:w="334" w:type="pct"/>
            <w:vMerge w:val="continue"/>
            <w:tcBorders>
              <w:left w:val="single" w:color="auto" w:sz="4" w:space="0"/>
              <w:right w:val="single" w:color="auto" w:sz="4" w:space="0"/>
            </w:tcBorders>
            <w:shd w:val="clear" w:color="auto" w:fill="auto"/>
            <w:vAlign w:val="center"/>
          </w:tcPr>
          <w:p>
            <w:pPr>
              <w:jc w:val="center"/>
              <w:rPr>
                <w:rFonts w:hint="eastAsia"/>
                <w:kern w:val="0"/>
                <w:sz w:val="24"/>
                <w:szCs w:val="24"/>
                <w:lang w:bidi="zh-TW"/>
              </w:rPr>
            </w:pPr>
          </w:p>
        </w:tc>
      </w:tr>
      <w:tr>
        <w:tblPrEx>
          <w:tblCellMar>
            <w:top w:w="0" w:type="dxa"/>
            <w:left w:w="10" w:type="dxa"/>
            <w:bottom w:w="0" w:type="dxa"/>
            <w:right w:w="10" w:type="dxa"/>
          </w:tblCellMar>
        </w:tblPrEx>
        <w:trPr>
          <w:trHeight w:val="517" w:hRule="exact"/>
          <w:jc w:val="center"/>
        </w:trPr>
        <w:tc>
          <w:tcPr>
            <w:tcW w:w="684" w:type="pct"/>
            <w:tcBorders>
              <w:top w:val="single" w:color="auto" w:sz="4" w:space="0"/>
              <w:left w:val="single" w:color="auto" w:sz="4" w:space="0"/>
              <w:bottom w:val="single" w:color="auto" w:sz="4" w:space="0"/>
            </w:tcBorders>
            <w:shd w:val="clear" w:color="auto" w:fill="auto"/>
            <w:vAlign w:val="center"/>
          </w:tcPr>
          <w:p>
            <w:pPr>
              <w:jc w:val="center"/>
              <w:rPr>
                <w:rFonts w:hint="eastAsia"/>
                <w:kern w:val="0"/>
                <w:sz w:val="24"/>
                <w:szCs w:val="24"/>
                <w:lang w:bidi="ar"/>
              </w:rPr>
            </w:pPr>
            <w:r>
              <w:rPr>
                <w:rFonts w:hint="eastAsia"/>
                <w:kern w:val="0"/>
                <w:sz w:val="24"/>
                <w:szCs w:val="24"/>
                <w:lang w:bidi="ar"/>
              </w:rPr>
              <w:t>禽肉</w:t>
            </w:r>
          </w:p>
        </w:tc>
        <w:tc>
          <w:tcPr>
            <w:tcW w:w="3980" w:type="pct"/>
            <w:tcBorders>
              <w:top w:val="single" w:color="auto" w:sz="4" w:space="0"/>
              <w:left w:val="single" w:color="auto" w:sz="4" w:space="0"/>
              <w:bottom w:val="single" w:color="auto" w:sz="4" w:space="0"/>
              <w:right w:val="single" w:color="auto" w:sz="4" w:space="0"/>
            </w:tcBorders>
            <w:shd w:val="clear" w:color="auto" w:fill="auto"/>
          </w:tcPr>
          <w:p>
            <w:pPr>
              <w:rPr>
                <w:rStyle w:val="10"/>
                <w:rFonts w:hint="eastAsia"/>
                <w:sz w:val="21"/>
                <w:szCs w:val="21"/>
                <w:lang w:bidi="ar"/>
              </w:rPr>
            </w:pPr>
            <w:r>
              <w:rPr>
                <w:rFonts w:hint="eastAsia"/>
                <w:sz w:val="24"/>
                <w:szCs w:val="24"/>
                <w:lang w:val="zh-TW" w:eastAsia="zh-TW" w:bidi="zh-TW"/>
              </w:rPr>
              <w:t>常规药物</w:t>
            </w:r>
            <w:r>
              <w:rPr>
                <w:rFonts w:hint="eastAsia"/>
                <w:sz w:val="24"/>
                <w:szCs w:val="24"/>
                <w:lang w:val="zh-TW" w:bidi="zh-TW"/>
              </w:rPr>
              <w:t>：</w:t>
            </w:r>
            <w:r>
              <w:rPr>
                <w:rFonts w:hint="eastAsia"/>
                <w:sz w:val="24"/>
                <w:szCs w:val="24"/>
              </w:rPr>
              <w:t xml:space="preserve">酰胺醇类（氟苯尼考、氟苯尼考胺、甲砜霉素） </w:t>
            </w:r>
          </w:p>
        </w:tc>
        <w:tc>
          <w:tcPr>
            <w:tcW w:w="334" w:type="pct"/>
            <w:vMerge w:val="continue"/>
            <w:tcBorders>
              <w:left w:val="single" w:color="auto" w:sz="4" w:space="0"/>
              <w:bottom w:val="single" w:color="auto" w:sz="4" w:space="0"/>
              <w:right w:val="single" w:color="auto" w:sz="4" w:space="0"/>
            </w:tcBorders>
            <w:shd w:val="clear" w:color="auto" w:fill="auto"/>
            <w:vAlign w:val="center"/>
          </w:tcPr>
          <w:p>
            <w:pPr>
              <w:jc w:val="center"/>
              <w:rPr>
                <w:rFonts w:hint="eastAsia"/>
                <w:kern w:val="0"/>
                <w:sz w:val="24"/>
                <w:szCs w:val="24"/>
                <w:lang w:bidi="zh-TW"/>
              </w:rPr>
            </w:pPr>
          </w:p>
        </w:tc>
      </w:tr>
      <w:tr>
        <w:tblPrEx>
          <w:tblCellMar>
            <w:top w:w="0" w:type="dxa"/>
            <w:left w:w="10" w:type="dxa"/>
            <w:bottom w:w="0" w:type="dxa"/>
            <w:right w:w="10" w:type="dxa"/>
          </w:tblCellMar>
        </w:tblPrEx>
        <w:trPr>
          <w:trHeight w:val="4830" w:hRule="exact"/>
          <w:jc w:val="center"/>
        </w:trPr>
        <w:tc>
          <w:tcPr>
            <w:tcW w:w="684" w:type="pct"/>
            <w:tcBorders>
              <w:top w:val="single" w:color="auto" w:sz="4" w:space="0"/>
              <w:left w:val="single" w:color="auto" w:sz="4" w:space="0"/>
              <w:bottom w:val="single" w:color="auto" w:sz="4" w:space="0"/>
            </w:tcBorders>
            <w:shd w:val="clear" w:color="auto" w:fill="auto"/>
            <w:vAlign w:val="center"/>
          </w:tcPr>
          <w:p>
            <w:pPr>
              <w:jc w:val="center"/>
              <w:rPr>
                <w:rFonts w:hint="eastAsia"/>
                <w:kern w:val="0"/>
                <w:sz w:val="24"/>
                <w:szCs w:val="24"/>
                <w:lang w:bidi="ar"/>
              </w:rPr>
            </w:pPr>
            <w:r>
              <w:rPr>
                <w:rFonts w:hint="eastAsia"/>
                <w:kern w:val="0"/>
                <w:sz w:val="24"/>
                <w:szCs w:val="24"/>
                <w:lang w:bidi="zh-TW"/>
              </w:rPr>
              <w:t>淡水养殖产品</w:t>
            </w:r>
          </w:p>
        </w:tc>
        <w:tc>
          <w:tcPr>
            <w:tcW w:w="3980" w:type="pct"/>
            <w:tcBorders>
              <w:top w:val="single" w:color="auto" w:sz="4" w:space="0"/>
              <w:left w:val="single" w:color="auto" w:sz="4" w:space="0"/>
              <w:bottom w:val="single" w:color="auto" w:sz="4" w:space="0"/>
              <w:right w:val="single" w:color="auto" w:sz="4" w:space="0"/>
            </w:tcBorders>
            <w:shd w:val="clear" w:color="auto" w:fill="auto"/>
          </w:tcPr>
          <w:p>
            <w:pPr>
              <w:rPr>
                <w:rFonts w:hint="eastAsia"/>
                <w:kern w:val="0"/>
                <w:sz w:val="24"/>
                <w:szCs w:val="24"/>
                <w:lang w:bidi="zh-TW"/>
              </w:rPr>
            </w:pPr>
            <w:r>
              <w:rPr>
                <w:rFonts w:hint="eastAsia"/>
                <w:kern w:val="0"/>
                <w:sz w:val="24"/>
                <w:szCs w:val="24"/>
                <w:lang w:bidi="zh-TW"/>
              </w:rPr>
              <w:t>禁用药物：氯霉素、孔雀石绿（包括有色孔雀石绿和无色孔雀石绿）、硝基呋喃类代谢物（包呋喃唑酮代谢物AOZ、呋喃它酮代谢物AMOZ、呋喃西林代谢物SEM和呋喃妥因代谢物AHD）、地西泮</w:t>
            </w:r>
          </w:p>
          <w:p>
            <w:pPr>
              <w:rPr>
                <w:rFonts w:hint="eastAsia"/>
                <w:kern w:val="0"/>
                <w:sz w:val="24"/>
                <w:szCs w:val="24"/>
                <w:lang w:bidi="zh-TW"/>
              </w:rPr>
            </w:pPr>
            <w:r>
              <w:rPr>
                <w:rFonts w:hint="eastAsia"/>
                <w:kern w:val="0"/>
                <w:sz w:val="24"/>
                <w:szCs w:val="24"/>
                <w:lang w:bidi="zh-TW"/>
              </w:rPr>
              <w:t>常规药物：酰胺醇类（甲砜霉素、氟苯尼考和氯苯尼考胺）、磺胺类（包括磺胺噻唑、磺胺嘧啶、磺胺甲基咪啶、磺胺二甲基咪啶、磺胺甲基异噁唑、磺胺多辛、磺胺异噁唑、磺胺喹噁啉、磺胺间甲氧嘧啶、黄案件二甲氧嘧啶、磺胺氯哒嗪和磺胺甲噻二唑等12种）、氟喹诺酮类（包括恩诺沙星、环丙沙星）</w:t>
            </w:r>
          </w:p>
          <w:p>
            <w:pPr>
              <w:rPr>
                <w:rStyle w:val="10"/>
                <w:rFonts w:hint="eastAsia"/>
                <w:sz w:val="21"/>
                <w:szCs w:val="21"/>
                <w:lang w:bidi="ar"/>
              </w:rPr>
            </w:pPr>
            <w:r>
              <w:rPr>
                <w:rFonts w:hint="eastAsia"/>
                <w:kern w:val="0"/>
                <w:sz w:val="24"/>
                <w:szCs w:val="24"/>
                <w:lang w:bidi="zh-TW"/>
              </w:rPr>
              <w:t>食品动物中停止使用药物氟喹诺酮类（诺氟沙星、氧氟沙星、培氟沙星和洛美沙星）</w:t>
            </w:r>
          </w:p>
        </w:tc>
        <w:tc>
          <w:tcPr>
            <w:tcW w:w="33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kern w:val="0"/>
                <w:sz w:val="24"/>
                <w:szCs w:val="24"/>
                <w:lang w:bidi="zh-TW"/>
              </w:rPr>
            </w:pPr>
            <w:r>
              <w:rPr>
                <w:rFonts w:hint="eastAsia"/>
                <w:kern w:val="0"/>
                <w:sz w:val="24"/>
                <w:szCs w:val="24"/>
                <w:lang w:bidi="zh-TW"/>
              </w:rPr>
              <w:t>20</w:t>
            </w:r>
          </w:p>
        </w:tc>
      </w:tr>
    </w:tbl>
    <w:p>
      <w:pPr>
        <w:pStyle w:val="2"/>
        <w:rPr>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229"/>
    <w:rsid w:val="000E4B69"/>
    <w:rsid w:val="00423D7A"/>
    <w:rsid w:val="004A007C"/>
    <w:rsid w:val="004E25A7"/>
    <w:rsid w:val="006056EF"/>
    <w:rsid w:val="0066131E"/>
    <w:rsid w:val="009D2072"/>
    <w:rsid w:val="00B7293F"/>
    <w:rsid w:val="00BD0EF3"/>
    <w:rsid w:val="00C21F04"/>
    <w:rsid w:val="00C3480A"/>
    <w:rsid w:val="00D825AB"/>
    <w:rsid w:val="00DE2FE5"/>
    <w:rsid w:val="00E24DE4"/>
    <w:rsid w:val="00E343E2"/>
    <w:rsid w:val="00E76229"/>
    <w:rsid w:val="00F36416"/>
    <w:rsid w:val="00FC6EAC"/>
    <w:rsid w:val="24F8A3FE"/>
    <w:rsid w:val="3B7FCD56"/>
    <w:rsid w:val="476520B8"/>
    <w:rsid w:val="5AAD7320"/>
    <w:rsid w:val="6BFD255A"/>
    <w:rsid w:val="93DFC9F3"/>
    <w:rsid w:val="BFDB1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spacing w:line="360" w:lineRule="auto"/>
      <w:jc w:val="both"/>
    </w:pPr>
    <w:rPr>
      <w:rFonts w:ascii="宋体" w:hAnsi="宋体" w:eastAsia="宋体" w:cs="宋体"/>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9"/>
    <w:unhideWhenUsed/>
    <w:qFormat/>
    <w:uiPriority w:val="99"/>
    <w:pPr>
      <w:spacing w:after="120"/>
    </w:pPr>
  </w:style>
  <w:style w:type="paragraph" w:styleId="3">
    <w:name w:val="footer"/>
    <w:basedOn w:val="1"/>
    <w:link w:val="8"/>
    <w:unhideWhenUsed/>
    <w:qFormat/>
    <w:uiPriority w:val="99"/>
    <w:pPr>
      <w:tabs>
        <w:tab w:val="center" w:pos="4153"/>
        <w:tab w:val="right" w:pos="8306"/>
      </w:tabs>
      <w:suppressAutoHyphens w:val="0"/>
      <w:snapToGrid w:val="0"/>
      <w:spacing w:line="240" w:lineRule="auto"/>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uppressAutoHyphens w:val="0"/>
      <w:snapToGrid w:val="0"/>
      <w:spacing w:line="240" w:lineRule="auto"/>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正文文本 字符"/>
    <w:basedOn w:val="6"/>
    <w:link w:val="2"/>
    <w:qFormat/>
    <w:uiPriority w:val="99"/>
    <w:rPr>
      <w:rFonts w:ascii="宋体" w:hAnsi="宋体" w:eastAsia="宋体" w:cs="宋体"/>
      <w:szCs w:val="21"/>
    </w:rPr>
  </w:style>
  <w:style w:type="character" w:customStyle="1" w:styleId="10">
    <w:name w:val="font41"/>
    <w:qFormat/>
    <w:uiPriority w:val="0"/>
    <w:rPr>
      <w:rFonts w:ascii="宋体" w:hAnsi="宋体" w:eastAsia="宋体" w:cs="宋体"/>
      <w:color w:val="000000"/>
      <w:sz w:val="18"/>
      <w:szCs w:val="18"/>
      <w:u w:val="none"/>
    </w:rPr>
  </w:style>
  <w:style w:type="paragraph" w:customStyle="1" w:styleId="11">
    <w:name w:val="正文1"/>
    <w:basedOn w:val="1"/>
    <w:qFormat/>
    <w:uiPriority w:val="0"/>
    <w:pPr>
      <w:adjustRightInd w:val="0"/>
      <w:spacing w:line="318" w:lineRule="atLeast"/>
      <w:ind w:left="369" w:firstLine="369"/>
      <w:textAlignment w:val="baseline"/>
    </w:pPr>
    <w:rPr>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1506</Words>
  <Characters>1507</Characters>
  <Lines>251</Lines>
  <Paragraphs>200</Paragraphs>
  <TotalTime>22</TotalTime>
  <ScaleCrop>false</ScaleCrop>
  <LinksUpToDate>false</LinksUpToDate>
  <CharactersWithSpaces>2813</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2024-05-14T09:56:00Z</dcterms:created>
  <dc:creator>axsua</dc:creator>
  <cp:lastModifiedBy>greatwall</cp:lastModifiedBy>
  <cp:lastPrinted>2024-05-17T01:10:00Z</cp:lastPrinted>
  <dcterms:modified xsi:type="dcterms:W3CDTF">2025-05-09T16:13:52Z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4DB9CBCC2DF5C05D0AA84166F052203A</vt:lpwstr>
  </property>
</Properties>
</file>